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E595" w14:textId="77777777" w:rsidR="00970E74" w:rsidRDefault="005F3B12">
      <w:r>
        <w:rPr>
          <w:noProof/>
        </w:rPr>
        <w:drawing>
          <wp:inline distT="0" distB="0" distL="0" distR="0" wp14:anchorId="61E8A78F" wp14:editId="35710CCA">
            <wp:extent cx="1316990" cy="960755"/>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NIB See differently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46DD45F1" w14:textId="77777777" w:rsidR="00970E74" w:rsidRDefault="00970E74">
      <w:pPr>
        <w:pStyle w:val="Heading1"/>
      </w:pPr>
      <w:bookmarkStart w:id="0" w:name="_Toc316465615"/>
    </w:p>
    <w:bookmarkEnd w:id="0"/>
    <w:p w14:paraId="31D10CF6" w14:textId="1F25624C" w:rsidR="00970E74" w:rsidRDefault="005F3B12">
      <w:pPr>
        <w:pStyle w:val="Heading1"/>
        <w:rPr>
          <w:lang w:val="nl-NL"/>
        </w:rPr>
      </w:pPr>
      <w:r>
        <w:rPr>
          <w:lang w:val="nl-NL"/>
        </w:rPr>
        <w:t>Portable light with torch and power</w:t>
      </w:r>
      <w:r w:rsidR="00C81D48">
        <w:rPr>
          <w:lang w:val="nl-NL"/>
        </w:rPr>
        <w:t xml:space="preserve"> </w:t>
      </w:r>
      <w:r>
        <w:rPr>
          <w:lang w:val="nl-NL"/>
        </w:rPr>
        <w:t>bank (DH437)</w:t>
      </w:r>
    </w:p>
    <w:p w14:paraId="6DBB6B47" w14:textId="77777777" w:rsidR="006D19EA" w:rsidRDefault="005F3B12" w:rsidP="006D19EA">
      <w:pPr>
        <w:autoSpaceDE w:val="0"/>
        <w:autoSpaceDN w:val="0"/>
        <w:adjustRightInd w:val="0"/>
        <w:rPr>
          <w:rFonts w:cs="Arial"/>
          <w:szCs w:val="32"/>
        </w:rPr>
      </w:pPr>
      <w:bookmarkStart w:id="1" w:name="_Toc293495616"/>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16BA1ED" w14:textId="4A0F6CD1" w:rsidR="00970E74" w:rsidRDefault="005F3B12" w:rsidP="006D19EA">
      <w:pPr>
        <w:autoSpaceDE w:val="0"/>
        <w:autoSpaceDN w:val="0"/>
        <w:adjustRightInd w:val="0"/>
      </w:pPr>
      <w:r>
        <w:t xml:space="preserve">Please retain these instructions for future reference. These instructions are also available in other formats. </w:t>
      </w:r>
    </w:p>
    <w:p w14:paraId="192FB5DA" w14:textId="77777777" w:rsidR="00970E74" w:rsidRDefault="00970E74"/>
    <w:p w14:paraId="56601AE0" w14:textId="77777777" w:rsidR="00970E74" w:rsidRDefault="005F3B12">
      <w:pPr>
        <w:pStyle w:val="Heading2"/>
      </w:pPr>
      <w:bookmarkStart w:id="2" w:name="_Toc243448109"/>
      <w:bookmarkStart w:id="3" w:name="_Toc378689204"/>
      <w:bookmarkEnd w:id="1"/>
      <w:r>
        <w:t>General description</w:t>
      </w:r>
      <w:bookmarkEnd w:id="2"/>
      <w:bookmarkEnd w:id="3"/>
    </w:p>
    <w:p w14:paraId="3FF3EEEF" w14:textId="7838C10B" w:rsidR="00970E74" w:rsidRDefault="005F3B12" w:rsidP="006E55EB">
      <w:pPr>
        <w:spacing w:after="0"/>
      </w:pPr>
      <w:r>
        <w:t xml:space="preserve">This compact, rechargeable light offers a light output of 900lux and has three brightness levels and adjustable positioning. </w:t>
      </w:r>
      <w:r>
        <w:rPr>
          <w:rFonts w:cs="Arial"/>
          <w:color w:val="000000"/>
          <w:szCs w:val="28"/>
        </w:rPr>
        <w:t>It charges via USB and it can be used as a power</w:t>
      </w:r>
      <w:r w:rsidR="00C81D48">
        <w:rPr>
          <w:rFonts w:cs="Arial"/>
          <w:color w:val="000000"/>
          <w:szCs w:val="28"/>
        </w:rPr>
        <w:t xml:space="preserve"> </w:t>
      </w:r>
      <w:r>
        <w:rPr>
          <w:rFonts w:cs="Arial"/>
          <w:color w:val="000000"/>
          <w:szCs w:val="28"/>
        </w:rPr>
        <w:t xml:space="preserve">bank for mobile phones </w:t>
      </w:r>
      <w:proofErr w:type="gramStart"/>
      <w:r>
        <w:rPr>
          <w:rFonts w:cs="Arial"/>
          <w:color w:val="000000"/>
          <w:szCs w:val="28"/>
        </w:rPr>
        <w:t>and also</w:t>
      </w:r>
      <w:proofErr w:type="gramEnd"/>
      <w:r>
        <w:rPr>
          <w:rFonts w:cs="Arial"/>
          <w:color w:val="000000"/>
          <w:szCs w:val="28"/>
        </w:rPr>
        <w:t xml:space="preserve"> as a mobile phone holder.</w:t>
      </w:r>
    </w:p>
    <w:p w14:paraId="0C222A08" w14:textId="77777777" w:rsidR="00970E74" w:rsidRDefault="00970E74" w:rsidP="006E55EB">
      <w:pPr>
        <w:spacing w:after="0"/>
      </w:pPr>
      <w:bookmarkStart w:id="4" w:name="_Toc378689206"/>
      <w:bookmarkStart w:id="5" w:name="_Toc293495618"/>
      <w:bookmarkStart w:id="6" w:name="_Toc240353899"/>
      <w:bookmarkStart w:id="7" w:name="_Toc237831394"/>
    </w:p>
    <w:p w14:paraId="15B33B44" w14:textId="77777777" w:rsidR="00970E74" w:rsidRDefault="005F3B12" w:rsidP="006E55EB">
      <w:pPr>
        <w:pStyle w:val="Heading2"/>
        <w:spacing w:after="0"/>
      </w:pPr>
      <w:r>
        <w:t>Orientation</w:t>
      </w:r>
      <w:bookmarkEnd w:id="4"/>
      <w:bookmarkEnd w:id="5"/>
    </w:p>
    <w:p w14:paraId="17F568B0" w14:textId="7E75D403" w:rsidR="00970E74" w:rsidRDefault="005F3B12" w:rsidP="006E55EB">
      <w:pPr>
        <w:spacing w:after="0"/>
      </w:pPr>
      <w:r>
        <w:t xml:space="preserve">The light is rectangular in shape when closed. It </w:t>
      </w:r>
      <w:r w:rsidRPr="005541D2">
        <w:t xml:space="preserve">measures </w:t>
      </w:r>
      <w:r w:rsidRPr="005541D2">
        <w:rPr>
          <w:rFonts w:eastAsia="SimSun" w:hint="eastAsia"/>
          <w:lang w:val="en-US" w:eastAsia="zh-CN"/>
        </w:rPr>
        <w:t>14.6</w:t>
      </w:r>
      <w:r w:rsidRPr="005541D2">
        <w:t>cm</w:t>
      </w:r>
      <w:r w:rsidR="005541D2" w:rsidRPr="005541D2">
        <w:t xml:space="preserve"> (5.75 inches)</w:t>
      </w:r>
      <w:r w:rsidRPr="005541D2">
        <w:t xml:space="preserve"> long, 4.5cm</w:t>
      </w:r>
      <w:r w:rsidR="005541D2" w:rsidRPr="005541D2">
        <w:t xml:space="preserve"> (1.77 inches)</w:t>
      </w:r>
      <w:r w:rsidRPr="005541D2">
        <w:t xml:space="preserve"> wide and 4.5cm</w:t>
      </w:r>
      <w:r w:rsidR="005541D2" w:rsidRPr="005541D2">
        <w:t xml:space="preserve"> (1.77 inches) </w:t>
      </w:r>
      <w:r w:rsidRPr="005541D2">
        <w:t xml:space="preserve">deep. </w:t>
      </w:r>
    </w:p>
    <w:p w14:paraId="6BC5EEE0" w14:textId="77777777" w:rsidR="00A43EBC" w:rsidRDefault="00A43EBC" w:rsidP="006E55EB">
      <w:pPr>
        <w:spacing w:after="0"/>
      </w:pPr>
    </w:p>
    <w:p w14:paraId="5A1E889C" w14:textId="6FA6C44F" w:rsidR="00970E74" w:rsidRDefault="005F3B12" w:rsidP="006E55EB">
      <w:pPr>
        <w:spacing w:after="0"/>
      </w:pPr>
      <w:r>
        <w:t>The light is made by two sections, base and lamp shade, connected by a telescopic pole.</w:t>
      </w:r>
    </w:p>
    <w:p w14:paraId="606BB5B1" w14:textId="77777777" w:rsidR="00970E74" w:rsidRDefault="00970E74" w:rsidP="006E55EB">
      <w:pPr>
        <w:spacing w:after="0"/>
      </w:pPr>
    </w:p>
    <w:p w14:paraId="1F262C28" w14:textId="77777777" w:rsidR="00970E74" w:rsidRDefault="005F3B12" w:rsidP="006E55EB">
      <w:pPr>
        <w:pStyle w:val="Heading3"/>
        <w:spacing w:after="0"/>
      </w:pPr>
      <w:r>
        <w:t>Base</w:t>
      </w:r>
    </w:p>
    <w:p w14:paraId="1678C0BE" w14:textId="512CA4BE" w:rsidR="00970E74" w:rsidRDefault="005F3B12" w:rsidP="006E55EB">
      <w:pPr>
        <w:spacing w:after="0"/>
      </w:pPr>
      <w:r>
        <w:t>When it’s closed you will find a red square button</w:t>
      </w:r>
      <w:r w:rsidRPr="005541D2">
        <w:t>, 1.5cm (0.6 inches)</w:t>
      </w:r>
      <w:r>
        <w:t xml:space="preserve"> in diameter, on one side; this is the </w:t>
      </w:r>
      <w:r>
        <w:rPr>
          <w:b/>
          <w:bCs/>
        </w:rPr>
        <w:t>power</w:t>
      </w:r>
      <w:r>
        <w:t xml:space="preserve"> button. This button is located just </w:t>
      </w:r>
      <w:r w:rsidRPr="005541D2">
        <w:t xml:space="preserve">over </w:t>
      </w:r>
      <w:r w:rsidRPr="005541D2">
        <w:rPr>
          <w:rFonts w:eastAsia="SimSun" w:hint="eastAsia"/>
          <w:lang w:val="en-US" w:eastAsia="zh-CN"/>
        </w:rPr>
        <w:t>9.3</w:t>
      </w:r>
      <w:r w:rsidRPr="005541D2">
        <w:t>cm (</w:t>
      </w:r>
      <w:r w:rsidRPr="005541D2">
        <w:rPr>
          <w:rFonts w:eastAsia="SimSun" w:hint="eastAsia"/>
          <w:lang w:val="en-US" w:eastAsia="zh-CN"/>
        </w:rPr>
        <w:t>3.6</w:t>
      </w:r>
      <w:r w:rsidR="005541D2">
        <w:rPr>
          <w:rFonts w:eastAsia="SimSun"/>
          <w:lang w:val="en-US" w:eastAsia="zh-CN"/>
        </w:rPr>
        <w:t xml:space="preserve"> </w:t>
      </w:r>
      <w:r w:rsidRPr="005541D2">
        <w:t xml:space="preserve">inches) </w:t>
      </w:r>
      <w:r>
        <w:t>from the base of the light when fully closed.</w:t>
      </w:r>
    </w:p>
    <w:p w14:paraId="3F136C4F" w14:textId="3452AF1E" w:rsidR="00A43EBC" w:rsidRDefault="005F3B12" w:rsidP="006E55EB">
      <w:pPr>
        <w:spacing w:after="0"/>
      </w:pPr>
      <w:r>
        <w:lastRenderedPageBreak/>
        <w:t xml:space="preserve">With the </w:t>
      </w:r>
      <w:r w:rsidRPr="005541D2">
        <w:t>power</w:t>
      </w:r>
      <w:r>
        <w:t xml:space="preserve"> button facing you, </w:t>
      </w:r>
      <w:r w:rsidR="00A43EBC">
        <w:t>at the top of</w:t>
      </w:r>
      <w:r>
        <w:t xml:space="preserve"> the right side of the base section is </w:t>
      </w:r>
      <w:r w:rsidR="00A43EBC">
        <w:t xml:space="preserve">a </w:t>
      </w:r>
      <w:r w:rsidR="00A43EBC" w:rsidRPr="005541D2">
        <w:rPr>
          <w:b/>
          <w:bCs/>
        </w:rPr>
        <w:t>charging port</w:t>
      </w:r>
      <w:r w:rsidR="00A43EBC">
        <w:t xml:space="preserve"> for when using the product as a power</w:t>
      </w:r>
      <w:r w:rsidR="00C81D48">
        <w:t xml:space="preserve"> </w:t>
      </w:r>
      <w:r w:rsidR="00A43EBC">
        <w:t>bank.</w:t>
      </w:r>
    </w:p>
    <w:p w14:paraId="214E0F1D" w14:textId="2F0A9C9D" w:rsidR="00970E74" w:rsidRDefault="00A43EBC" w:rsidP="006E55EB">
      <w:pPr>
        <w:spacing w:after="0"/>
      </w:pPr>
      <w:r w:rsidRPr="00A43EBC">
        <w:t xml:space="preserve">Just below it there is a </w:t>
      </w:r>
      <w:r w:rsidR="005F3B12" w:rsidRPr="00A43EBC">
        <w:rPr>
          <w:b/>
          <w:bCs/>
        </w:rPr>
        <w:t>micro USB socket</w:t>
      </w:r>
      <w:r w:rsidR="005F3B12" w:rsidRPr="00A43EBC">
        <w:t xml:space="preserve"> </w:t>
      </w:r>
      <w:r w:rsidR="005F3B12">
        <w:t xml:space="preserve">to plug your charging cable. </w:t>
      </w:r>
    </w:p>
    <w:p w14:paraId="63333AC4" w14:textId="77777777" w:rsidR="00A43EBC" w:rsidRPr="00A43EBC" w:rsidRDefault="00A43EBC" w:rsidP="006E55EB">
      <w:pPr>
        <w:spacing w:after="0"/>
      </w:pPr>
    </w:p>
    <w:p w14:paraId="61BFDCC6" w14:textId="77777777" w:rsidR="00A43EBC" w:rsidRPr="00A43EBC" w:rsidRDefault="00A43EBC" w:rsidP="006E55EB">
      <w:pPr>
        <w:spacing w:after="0"/>
      </w:pPr>
      <w:r w:rsidRPr="00A43EBC">
        <w:t>Below</w:t>
      </w:r>
      <w:r w:rsidR="005F3B12" w:rsidRPr="00A43EBC">
        <w:t xml:space="preserve"> th</w:t>
      </w:r>
      <w:r w:rsidRPr="00A43EBC">
        <w:t>e micro USB socket there</w:t>
      </w:r>
      <w:r w:rsidR="005F3B12" w:rsidRPr="00A43EBC">
        <w:t xml:space="preserve"> are four small </w:t>
      </w:r>
      <w:r w:rsidRPr="00A43EBC">
        <w:t>blue</w:t>
      </w:r>
      <w:r w:rsidR="005F3B12" w:rsidRPr="00A43EBC">
        <w:rPr>
          <w:rFonts w:hint="eastAsia"/>
        </w:rPr>
        <w:t xml:space="preserve"> </w:t>
      </w:r>
      <w:r w:rsidR="005F3B12" w:rsidRPr="00A43EBC">
        <w:t xml:space="preserve">LEDs. This is the </w:t>
      </w:r>
      <w:r w:rsidR="005F3B12" w:rsidRPr="00A43EBC">
        <w:rPr>
          <w:b/>
          <w:bCs/>
        </w:rPr>
        <w:t>battery indicator level</w:t>
      </w:r>
      <w:r w:rsidR="005F3B12" w:rsidRPr="00A43EBC">
        <w:rPr>
          <w:rFonts w:hint="eastAsia"/>
        </w:rPr>
        <w:t xml:space="preserve">.  </w:t>
      </w:r>
      <w:r w:rsidRPr="00A43EBC">
        <w:t xml:space="preserve">When the USB cable is connected to a suitable power source this acts as a charging indicator and illuminates </w:t>
      </w:r>
      <w:r w:rsidRPr="00A43EBC">
        <w:rPr>
          <w:rFonts w:hint="eastAsia"/>
        </w:rPr>
        <w:t>blue.</w:t>
      </w:r>
    </w:p>
    <w:p w14:paraId="0FD7F059" w14:textId="6314EFEE" w:rsidR="00970E74" w:rsidRPr="00A43EBC" w:rsidRDefault="005F3B12" w:rsidP="006E55EB">
      <w:pPr>
        <w:spacing w:after="0"/>
      </w:pPr>
      <w:r w:rsidRPr="00A43EBC">
        <w:t xml:space="preserve">These LEDs </w:t>
      </w:r>
      <w:r w:rsidRPr="00A43EBC">
        <w:rPr>
          <w:rFonts w:hint="eastAsia"/>
        </w:rPr>
        <w:t>flick when</w:t>
      </w:r>
      <w:r w:rsidR="00A43EBC" w:rsidRPr="00A43EBC">
        <w:t xml:space="preserve"> the light is</w:t>
      </w:r>
      <w:r w:rsidRPr="00A43EBC">
        <w:rPr>
          <w:rFonts w:hint="eastAsia"/>
        </w:rPr>
        <w:t xml:space="preserve"> charging</w:t>
      </w:r>
      <w:r w:rsidR="00A43EBC" w:rsidRPr="00A43EBC">
        <w:t>. They will not</w:t>
      </w:r>
      <w:r w:rsidRPr="00A43EBC">
        <w:rPr>
          <w:rFonts w:hint="eastAsia"/>
        </w:rPr>
        <w:t xml:space="preserve"> </w:t>
      </w:r>
      <w:r w:rsidRPr="00A43EBC">
        <w:t>flick when the power</w:t>
      </w:r>
      <w:r w:rsidR="00C81D48">
        <w:t xml:space="preserve"> </w:t>
      </w:r>
      <w:r w:rsidRPr="00A43EBC">
        <w:t>bank is in use</w:t>
      </w:r>
      <w:r w:rsidRPr="00A43EBC">
        <w:rPr>
          <w:rFonts w:hint="eastAsia"/>
        </w:rPr>
        <w:t>.</w:t>
      </w:r>
    </w:p>
    <w:p w14:paraId="22B9E8F5" w14:textId="77777777" w:rsidR="00970E74" w:rsidRDefault="00970E74" w:rsidP="006E55EB">
      <w:pPr>
        <w:spacing w:after="0"/>
      </w:pPr>
    </w:p>
    <w:p w14:paraId="512AD6E5" w14:textId="77777777" w:rsidR="00970E74" w:rsidRDefault="005F3B12" w:rsidP="006E55EB">
      <w:pPr>
        <w:pStyle w:val="Heading3"/>
        <w:spacing w:after="0"/>
      </w:pPr>
      <w:r>
        <w:t>Top section, lamp shade</w:t>
      </w:r>
    </w:p>
    <w:p w14:paraId="7382EB80" w14:textId="5BA0BD2D" w:rsidR="00970E74" w:rsidRDefault="005F3B12" w:rsidP="006E55EB">
      <w:pPr>
        <w:spacing w:after="0"/>
        <w:rPr>
          <w:rFonts w:cs="Arial"/>
        </w:rPr>
      </w:pPr>
      <w:r>
        <w:t xml:space="preserve">The top section is the lamp shade which is connected to the main base by a telescopic pole with a rotary joint. This top section </w:t>
      </w:r>
      <w:r w:rsidRPr="00A43EBC">
        <w:t xml:space="preserve">has </w:t>
      </w:r>
      <w:r w:rsidR="00A43EBC">
        <w:t>six</w:t>
      </w:r>
      <w:r w:rsidRPr="00A43EBC">
        <w:t xml:space="preserve"> LEDs </w:t>
      </w:r>
      <w:r>
        <w:t xml:space="preserve">which </w:t>
      </w:r>
      <w:r>
        <w:rPr>
          <w:rFonts w:cs="Arial"/>
        </w:rPr>
        <w:t>sit beneath a clear plastic cover.</w:t>
      </w:r>
    </w:p>
    <w:p w14:paraId="00918551" w14:textId="77777777" w:rsidR="00970E74" w:rsidRDefault="00970E74" w:rsidP="006E55EB">
      <w:pPr>
        <w:spacing w:after="0"/>
      </w:pPr>
    </w:p>
    <w:p w14:paraId="69B4129F" w14:textId="77777777" w:rsidR="00970E74" w:rsidRDefault="005F3B12" w:rsidP="006E55EB">
      <w:pPr>
        <w:spacing w:after="0"/>
      </w:pPr>
      <w:r>
        <w:t>The light can be used either as a torch when it is closed, or as a desk lamp when the lamp shade pole is extended.</w:t>
      </w:r>
    </w:p>
    <w:p w14:paraId="3C3B3F52" w14:textId="77777777" w:rsidR="00970E74" w:rsidRDefault="00970E74" w:rsidP="006E55EB">
      <w:pPr>
        <w:spacing w:after="0"/>
      </w:pPr>
    </w:p>
    <w:p w14:paraId="47F8FEC3" w14:textId="77777777" w:rsidR="00970E74" w:rsidRDefault="005F3B12" w:rsidP="006E55EB">
      <w:pPr>
        <w:pStyle w:val="Heading2"/>
        <w:spacing w:after="0"/>
      </w:pPr>
      <w:r>
        <w:t>Getting started</w:t>
      </w:r>
    </w:p>
    <w:p w14:paraId="36524DBE" w14:textId="1DC6F2A3" w:rsidR="00970E74" w:rsidRPr="00A43EBC" w:rsidRDefault="005F3B12" w:rsidP="006E55EB">
      <w:pPr>
        <w:spacing w:after="0"/>
      </w:pPr>
      <w:r>
        <w:t>You will need to charge the light before first use. Charging can be done by connecting the larger end of the supplied USB cable to a computer charging port or a battery pack. Then connect the smaller end to the corresponding m</w:t>
      </w:r>
      <w:r w:rsidR="00A43EBC">
        <w:t>icro</w:t>
      </w:r>
      <w:r>
        <w:t xml:space="preserve"> USB socket on the light. </w:t>
      </w:r>
      <w:r w:rsidRPr="00A43EBC">
        <w:t xml:space="preserve">The charging indicator will illuminate </w:t>
      </w:r>
      <w:r w:rsidRPr="00A43EBC">
        <w:rPr>
          <w:rFonts w:eastAsia="SimSun" w:hint="eastAsia"/>
          <w:lang w:val="en-US" w:eastAsia="zh-CN"/>
        </w:rPr>
        <w:t xml:space="preserve">blue </w:t>
      </w:r>
      <w:r w:rsidRPr="00A43EBC">
        <w:t>when charging occurs.</w:t>
      </w:r>
    </w:p>
    <w:p w14:paraId="0E7D2FC5" w14:textId="77777777" w:rsidR="00970E74" w:rsidRDefault="00970E74" w:rsidP="006E55EB">
      <w:pPr>
        <w:spacing w:after="0"/>
      </w:pPr>
    </w:p>
    <w:p w14:paraId="739E3F74" w14:textId="77777777" w:rsidR="00970E74" w:rsidRDefault="005F3B12" w:rsidP="006E55EB">
      <w:pPr>
        <w:spacing w:after="0"/>
      </w:pPr>
      <w:r>
        <w:t>Should you not have a computer you can use a Universal USB mains charger, which is available to purchase from RNIB.</w:t>
      </w:r>
    </w:p>
    <w:p w14:paraId="18F52966" w14:textId="77777777" w:rsidR="00970E74" w:rsidRDefault="00970E74" w:rsidP="006E55EB">
      <w:pPr>
        <w:spacing w:after="0"/>
      </w:pPr>
    </w:p>
    <w:p w14:paraId="1041E308" w14:textId="77777777" w:rsidR="00970E74" w:rsidRDefault="005F3B12" w:rsidP="006E55EB">
      <w:pPr>
        <w:spacing w:after="0"/>
        <w:rPr>
          <w:lang w:val="en-US"/>
        </w:rPr>
      </w:pPr>
      <w:r>
        <w:rPr>
          <w:lang w:val="en-US"/>
        </w:rPr>
        <w:t xml:space="preserve">Charge time is dependent on the battery discharge state. The battery is fully discharged if the lamp fails to light or stays on for less than a few minutes. To fully charge the battery takes </w:t>
      </w:r>
      <w:r w:rsidRPr="005541D2">
        <w:rPr>
          <w:lang w:val="en-US"/>
        </w:rPr>
        <w:t>around five hours</w:t>
      </w:r>
      <w:r>
        <w:rPr>
          <w:lang w:val="en-US"/>
        </w:rPr>
        <w:t>.</w:t>
      </w:r>
    </w:p>
    <w:p w14:paraId="4AAF6D7E" w14:textId="77777777" w:rsidR="00970E74" w:rsidRDefault="00970E74" w:rsidP="006E55EB">
      <w:pPr>
        <w:spacing w:after="0"/>
        <w:rPr>
          <w:lang w:val="en-US"/>
        </w:rPr>
      </w:pPr>
    </w:p>
    <w:p w14:paraId="47084E78" w14:textId="77777777" w:rsidR="00970E74" w:rsidRPr="005541D2" w:rsidRDefault="005F3B12" w:rsidP="006E55EB">
      <w:pPr>
        <w:spacing w:after="0"/>
        <w:rPr>
          <w:lang w:val="en-US"/>
        </w:rPr>
      </w:pPr>
      <w:r w:rsidRPr="005541D2">
        <w:rPr>
          <w:lang w:val="en-US"/>
        </w:rPr>
        <w:t>It is possible to use the light whilst the battery is charging.</w:t>
      </w:r>
    </w:p>
    <w:p w14:paraId="24B72750" w14:textId="19CF98D2" w:rsidR="00970E74" w:rsidRDefault="00970E74" w:rsidP="006E55EB">
      <w:pPr>
        <w:spacing w:after="0"/>
      </w:pPr>
    </w:p>
    <w:p w14:paraId="4C267167" w14:textId="2EAB9ABE" w:rsidR="006E55EB" w:rsidRDefault="006E55EB" w:rsidP="006E55EB">
      <w:pPr>
        <w:spacing w:after="0"/>
      </w:pPr>
    </w:p>
    <w:p w14:paraId="085C3C53" w14:textId="77777777" w:rsidR="006E55EB" w:rsidRDefault="006E55EB" w:rsidP="006E55EB">
      <w:pPr>
        <w:spacing w:after="0"/>
      </w:pPr>
    </w:p>
    <w:p w14:paraId="216BFA1C" w14:textId="77777777" w:rsidR="00970E74" w:rsidRDefault="005F3B12" w:rsidP="006E55EB">
      <w:pPr>
        <w:pStyle w:val="Heading2"/>
        <w:spacing w:after="0"/>
      </w:pPr>
      <w:bookmarkStart w:id="8" w:name="_Toc378689215"/>
      <w:bookmarkStart w:id="9" w:name="_Toc293495628"/>
      <w:bookmarkEnd w:id="6"/>
      <w:bookmarkEnd w:id="7"/>
      <w:r>
        <w:lastRenderedPageBreak/>
        <w:t>Using the product</w:t>
      </w:r>
      <w:bookmarkEnd w:id="8"/>
      <w:bookmarkEnd w:id="9"/>
    </w:p>
    <w:p w14:paraId="4666DA0A" w14:textId="77777777" w:rsidR="00970E74" w:rsidRDefault="005F3B12" w:rsidP="006E55EB">
      <w:pPr>
        <w:spacing w:after="0"/>
      </w:pPr>
      <w:r>
        <w:rPr>
          <w:b/>
        </w:rPr>
        <w:t>Warning:</w:t>
      </w:r>
      <w:r>
        <w:t xml:space="preserve"> Be careful not to look directly at the light when you turn it on.</w:t>
      </w:r>
    </w:p>
    <w:p w14:paraId="6D2A2806" w14:textId="77777777" w:rsidR="00970E74" w:rsidRDefault="00970E74" w:rsidP="006E55EB">
      <w:pPr>
        <w:spacing w:after="0"/>
      </w:pPr>
    </w:p>
    <w:p w14:paraId="054E4EEB" w14:textId="77777777" w:rsidR="00970E74" w:rsidRDefault="005F3B12" w:rsidP="006E55EB">
      <w:pPr>
        <w:pStyle w:val="Heading3"/>
        <w:spacing w:after="0"/>
      </w:pPr>
      <w:r>
        <w:t>Using the light as a desk lamp</w:t>
      </w:r>
    </w:p>
    <w:p w14:paraId="28362DAB" w14:textId="77777777" w:rsidR="00970E74" w:rsidRDefault="005F3B12" w:rsidP="006E55EB">
      <w:pPr>
        <w:spacing w:after="0"/>
      </w:pPr>
      <w:r>
        <w:t xml:space="preserve">Once charged and ready for use position the base of the light on a solid, stable surface </w:t>
      </w:r>
      <w:proofErr w:type="gramStart"/>
      <w:r>
        <w:t>in close proximity to</w:t>
      </w:r>
      <w:proofErr w:type="gramEnd"/>
      <w:r>
        <w:t xml:space="preserve"> the area that needs light. </w:t>
      </w:r>
    </w:p>
    <w:p w14:paraId="4182B79D" w14:textId="77777777" w:rsidR="00970E74" w:rsidRDefault="00970E74" w:rsidP="006E55EB">
      <w:pPr>
        <w:spacing w:after="0"/>
      </w:pPr>
    </w:p>
    <w:p w14:paraId="4ECAC83E" w14:textId="77777777" w:rsidR="00970E74" w:rsidRDefault="005F3B12" w:rsidP="006E55EB">
      <w:pPr>
        <w:spacing w:after="0"/>
      </w:pPr>
      <w:r>
        <w:t>To use this light as a desk lamp you would need to extend the lamp shade.</w:t>
      </w:r>
    </w:p>
    <w:p w14:paraId="5470D3EE" w14:textId="77777777" w:rsidR="00970E74" w:rsidRDefault="005F3B12" w:rsidP="006E55EB">
      <w:pPr>
        <w:spacing w:after="0"/>
      </w:pPr>
      <w:r>
        <w:t>To open the light, with the power button facing away from you, hold the base with one hand and lift the top section of the light up and away from the base to extend the telescopic pole.</w:t>
      </w:r>
    </w:p>
    <w:p w14:paraId="077F3066" w14:textId="77777777" w:rsidR="00970E74" w:rsidRDefault="00970E74" w:rsidP="006E55EB">
      <w:pPr>
        <w:spacing w:after="0"/>
      </w:pPr>
    </w:p>
    <w:p w14:paraId="357071DA" w14:textId="77777777" w:rsidR="00970E74" w:rsidRDefault="005F3B12" w:rsidP="006E55EB">
      <w:pPr>
        <w:spacing w:after="0"/>
      </w:pPr>
      <w:r>
        <w:t>The lamp shade moves 145 degrees, so you can position it to direct the light where you need it.</w:t>
      </w:r>
    </w:p>
    <w:p w14:paraId="35CC85E6" w14:textId="77777777" w:rsidR="00970E74" w:rsidRDefault="00970E74" w:rsidP="006E55EB">
      <w:pPr>
        <w:spacing w:after="0"/>
      </w:pPr>
    </w:p>
    <w:p w14:paraId="023989E5" w14:textId="26441E55" w:rsidR="00970E74" w:rsidRDefault="005F3B12" w:rsidP="006E55EB">
      <w:pPr>
        <w:spacing w:after="0"/>
        <w:rPr>
          <w:rFonts w:eastAsia="SimSun"/>
          <w:color w:val="FF0000"/>
          <w:lang w:val="en-US" w:eastAsia="zh-CN"/>
        </w:rPr>
      </w:pPr>
      <w:r>
        <w:t xml:space="preserve">To turn on the light press the red power button once. The light turns on initially to the 100% brightness setting. Press the power button a second time; this changes to 70% brightness setting, press a third time and it changes to 40% brightness setting.  </w:t>
      </w:r>
      <w:r w:rsidRPr="005541D2">
        <w:rPr>
          <w:rFonts w:eastAsia="SimSun" w:hint="eastAsia"/>
          <w:lang w:val="en-US" w:eastAsia="zh-CN"/>
        </w:rPr>
        <w:t xml:space="preserve">Press a fourth time and it </w:t>
      </w:r>
      <w:r w:rsidR="005541D2">
        <w:rPr>
          <w:rFonts w:eastAsia="SimSun"/>
          <w:lang w:val="en-US" w:eastAsia="zh-CN"/>
        </w:rPr>
        <w:t xml:space="preserve">will </w:t>
      </w:r>
      <w:r w:rsidRPr="005541D2">
        <w:rPr>
          <w:rFonts w:eastAsia="SimSun" w:hint="eastAsia"/>
          <w:lang w:val="en-US" w:eastAsia="zh-CN"/>
        </w:rPr>
        <w:t>turn off.</w:t>
      </w:r>
    </w:p>
    <w:p w14:paraId="746BD8A6" w14:textId="77777777" w:rsidR="00970E74" w:rsidRDefault="00970E74" w:rsidP="006E55EB">
      <w:pPr>
        <w:spacing w:after="0"/>
        <w:rPr>
          <w:rFonts w:eastAsia="SimSun"/>
          <w:color w:val="FF0000"/>
          <w:lang w:val="en-US" w:eastAsia="zh-CN"/>
        </w:rPr>
      </w:pPr>
    </w:p>
    <w:p w14:paraId="77B7686C" w14:textId="77777777" w:rsidR="00970E74" w:rsidRDefault="005F3B12" w:rsidP="006E55EB">
      <w:pPr>
        <w:pStyle w:val="Heading3"/>
        <w:spacing w:after="0"/>
      </w:pPr>
      <w:bookmarkStart w:id="10" w:name="_Toc323723441"/>
      <w:r>
        <w:t>Using the light as a torch</w:t>
      </w:r>
    </w:p>
    <w:p w14:paraId="522E000D" w14:textId="06D18A25" w:rsidR="00970E74" w:rsidRDefault="005F3B12" w:rsidP="006E55EB">
      <w:pPr>
        <w:spacing w:after="0"/>
      </w:pPr>
      <w:r>
        <w:t xml:space="preserve">To use the torch function, with the </w:t>
      </w:r>
      <w:r w:rsidR="006E55EB">
        <w:t>top section</w:t>
      </w:r>
      <w:r>
        <w:t xml:space="preserve"> closed, just press the power button.</w:t>
      </w:r>
    </w:p>
    <w:p w14:paraId="49C4E6A3" w14:textId="77777777" w:rsidR="00970E74" w:rsidRDefault="00970E74" w:rsidP="006E55EB">
      <w:pPr>
        <w:spacing w:after="0"/>
      </w:pPr>
    </w:p>
    <w:p w14:paraId="21D0D4FB" w14:textId="77777777" w:rsidR="00970E74" w:rsidRDefault="005F3B12" w:rsidP="006E55EB">
      <w:pPr>
        <w:pStyle w:val="Heading3"/>
        <w:spacing w:after="0"/>
      </w:pPr>
      <w:r>
        <w:t>Using the light as a power bank</w:t>
      </w:r>
    </w:p>
    <w:p w14:paraId="63876BE3" w14:textId="43869072" w:rsidR="00970E74" w:rsidRDefault="005541D2" w:rsidP="006E55EB">
      <w:pPr>
        <w:spacing w:after="0"/>
      </w:pPr>
      <w:r>
        <w:t>Connect the larger end of your USB charging cable to the charging port and the small end to the device you wish to charge.</w:t>
      </w:r>
    </w:p>
    <w:p w14:paraId="345327AE" w14:textId="35457C17" w:rsidR="005541D2" w:rsidRPr="00A43EBC" w:rsidRDefault="005541D2" w:rsidP="006E55EB">
      <w:pPr>
        <w:spacing w:after="0"/>
      </w:pPr>
      <w:r w:rsidRPr="00A43EBC">
        <w:t>The</w:t>
      </w:r>
      <w:r>
        <w:t xml:space="preserve"> blue LEDs</w:t>
      </w:r>
      <w:r w:rsidRPr="00A43EBC">
        <w:t xml:space="preserve"> </w:t>
      </w:r>
      <w:r w:rsidR="005F3B12">
        <w:t>are off</w:t>
      </w:r>
      <w:r w:rsidRPr="00A43EBC">
        <w:t xml:space="preserve"> when the power</w:t>
      </w:r>
      <w:r w:rsidR="00C81D48">
        <w:t xml:space="preserve"> </w:t>
      </w:r>
      <w:r w:rsidRPr="00A43EBC">
        <w:t>bank is in use</w:t>
      </w:r>
      <w:r w:rsidRPr="00A43EBC">
        <w:rPr>
          <w:rFonts w:hint="eastAsia"/>
        </w:rPr>
        <w:t>.</w:t>
      </w:r>
    </w:p>
    <w:p w14:paraId="64F204AB" w14:textId="77777777" w:rsidR="00970E74" w:rsidRDefault="00970E74" w:rsidP="006E55EB">
      <w:pPr>
        <w:spacing w:after="0"/>
      </w:pPr>
    </w:p>
    <w:p w14:paraId="11A5AC6F" w14:textId="77777777" w:rsidR="00970E74" w:rsidRDefault="005F3B12" w:rsidP="006E55EB">
      <w:pPr>
        <w:pStyle w:val="Heading2"/>
        <w:spacing w:after="0"/>
      </w:pPr>
      <w:r>
        <w:t>Best practice</w:t>
      </w:r>
      <w:bookmarkEnd w:id="10"/>
    </w:p>
    <w:p w14:paraId="1BD4E00A" w14:textId="77777777" w:rsidR="00970E74" w:rsidRDefault="005F3B12" w:rsidP="006E55EB">
      <w:pPr>
        <w:spacing w:after="0"/>
      </w:pPr>
      <w:r>
        <w:t xml:space="preserve">When using this </w:t>
      </w:r>
      <w:proofErr w:type="gramStart"/>
      <w:r>
        <w:t>light</w:t>
      </w:r>
      <w:proofErr w:type="gramEnd"/>
      <w:r>
        <w:t xml:space="preserve"> it is recommended to have it positioned below eye level between you and what you are doing. It is important to have the light below eye level to prevent glare.</w:t>
      </w:r>
    </w:p>
    <w:p w14:paraId="50A39E92" w14:textId="77777777" w:rsidR="00970E74" w:rsidRDefault="00970E74" w:rsidP="006E55EB">
      <w:pPr>
        <w:spacing w:after="0"/>
      </w:pPr>
    </w:p>
    <w:p w14:paraId="3007370F" w14:textId="5D759F1E" w:rsidR="00970E74" w:rsidRDefault="006E55EB" w:rsidP="006E55EB">
      <w:pPr>
        <w:spacing w:after="0"/>
      </w:pPr>
      <w:r>
        <w:t>T</w:t>
      </w:r>
      <w:r w:rsidR="005F3B12">
        <w:t>he amount of illumination on an object increases fourfold if the distance between the lamp and the object is halved. Remember to keep some background lighting on as well as it will help prevent eye strain.</w:t>
      </w:r>
    </w:p>
    <w:p w14:paraId="1FD80322" w14:textId="77777777" w:rsidR="00970E74" w:rsidRDefault="00970E74" w:rsidP="006E55EB">
      <w:pPr>
        <w:spacing w:after="0"/>
      </w:pPr>
    </w:p>
    <w:p w14:paraId="3CFCEA2C" w14:textId="77777777" w:rsidR="00970E74" w:rsidRDefault="005F3B12" w:rsidP="006E55EB">
      <w:pPr>
        <w:spacing w:after="0"/>
      </w:pPr>
      <w:r>
        <w:t xml:space="preserve">Using lighting correctly, wherever you need it, can make a big difference to the amount you can see.  For more advice and general tips on lighting you can visit RNIB’s website. </w:t>
      </w:r>
    </w:p>
    <w:p w14:paraId="4DB06403" w14:textId="77777777" w:rsidR="00970E74" w:rsidRDefault="00970E74" w:rsidP="006E55EB">
      <w:pPr>
        <w:spacing w:after="0"/>
        <w:rPr>
          <w:lang w:val="en-US"/>
        </w:rPr>
      </w:pPr>
    </w:p>
    <w:p w14:paraId="02F9B29E" w14:textId="77777777" w:rsidR="00970E74" w:rsidRDefault="005F3B12" w:rsidP="006E55EB">
      <w:pPr>
        <w:pStyle w:val="Heading2"/>
        <w:spacing w:after="0"/>
      </w:pPr>
      <w:bookmarkStart w:id="11" w:name="_Toc323723443"/>
      <w:bookmarkStart w:id="12" w:name="_Toc319683255"/>
      <w:r>
        <w:t>Important safety instructions</w:t>
      </w:r>
      <w:bookmarkEnd w:id="11"/>
      <w:bookmarkEnd w:id="12"/>
    </w:p>
    <w:p w14:paraId="4045FD9D" w14:textId="77777777" w:rsidR="00970E74" w:rsidRDefault="005F3B12" w:rsidP="006E55EB">
      <w:pPr>
        <w:pStyle w:val="ListBullet"/>
        <w:numPr>
          <w:ilvl w:val="0"/>
          <w:numId w:val="0"/>
        </w:numPr>
        <w:spacing w:after="0"/>
        <w:ind w:left="360" w:hanging="360"/>
        <w:rPr>
          <w:lang w:val="en-US" w:eastAsia="ar-SA"/>
        </w:rPr>
      </w:pPr>
      <w:r>
        <w:rPr>
          <w:lang w:val="en-US" w:eastAsia="ar-SA"/>
        </w:rPr>
        <w:t xml:space="preserve">Do not place or store this light where it could fall into water. </w:t>
      </w:r>
    </w:p>
    <w:p w14:paraId="414B571B" w14:textId="77777777" w:rsidR="00970E74" w:rsidRDefault="005F3B12" w:rsidP="006E55EB">
      <w:pPr>
        <w:spacing w:after="0"/>
        <w:rPr>
          <w:lang w:val="en-US" w:eastAsia="ar-SA"/>
        </w:rPr>
      </w:pPr>
      <w:r>
        <w:rPr>
          <w:lang w:val="en-US" w:eastAsia="ar-SA"/>
        </w:rPr>
        <w:t>When charging the light, it must be in an upright position on its base. Failure to charge in this position can damage the battery.</w:t>
      </w:r>
    </w:p>
    <w:p w14:paraId="02597663" w14:textId="77777777" w:rsidR="00970E74" w:rsidRDefault="005F3B12">
      <w:r>
        <w:t xml:space="preserve"> </w:t>
      </w:r>
    </w:p>
    <w:p w14:paraId="3D1F63B2" w14:textId="77777777" w:rsidR="00970E74" w:rsidRDefault="005F3B12">
      <w:pPr>
        <w:pStyle w:val="Heading2"/>
      </w:pPr>
      <w:bookmarkStart w:id="13" w:name="_Toc378689218"/>
      <w:r>
        <w:t>How to contact RNIB</w:t>
      </w:r>
      <w:bookmarkEnd w:id="13"/>
    </w:p>
    <w:p w14:paraId="78407230" w14:textId="77777777" w:rsidR="00970E74" w:rsidRDefault="005F3B12" w:rsidP="006E55EB">
      <w:pPr>
        <w:spacing w:after="0"/>
        <w:rPr>
          <w:rFonts w:cs="Arial"/>
        </w:rPr>
      </w:pPr>
      <w:r>
        <w:rPr>
          <w:rFonts w:cs="Arial"/>
        </w:rPr>
        <w:t>Phone: 0303 123 9999</w:t>
      </w:r>
    </w:p>
    <w:p w14:paraId="5B699A11" w14:textId="77777777" w:rsidR="00970E74" w:rsidRDefault="005F3B12" w:rsidP="006E55EB">
      <w:pPr>
        <w:spacing w:after="0"/>
        <w:rPr>
          <w:rFonts w:cs="Arial"/>
        </w:rPr>
      </w:pPr>
      <w:r>
        <w:rPr>
          <w:rFonts w:cs="Arial"/>
        </w:rPr>
        <w:t>Email: shop@rnib.org.uk</w:t>
      </w:r>
    </w:p>
    <w:p w14:paraId="7D48571D" w14:textId="77777777" w:rsidR="00970E74" w:rsidRDefault="005F3B12" w:rsidP="006E55EB">
      <w:pPr>
        <w:spacing w:after="0"/>
        <w:rPr>
          <w:rFonts w:cs="Arial"/>
        </w:rPr>
      </w:pPr>
      <w:r>
        <w:rPr>
          <w:rFonts w:cs="Arial"/>
        </w:rPr>
        <w:t xml:space="preserve">Address: </w:t>
      </w:r>
      <w:r>
        <w:rPr>
          <w:rFonts w:cs="Arial"/>
          <w:shd w:val="clear" w:color="auto" w:fill="FFFFFF"/>
        </w:rPr>
        <w:t>RNIB, Midgate House, Midgate, Peterborough PE1 1TN</w:t>
      </w:r>
    </w:p>
    <w:p w14:paraId="5B42E4AD" w14:textId="77777777" w:rsidR="00970E74" w:rsidRDefault="005F3B12" w:rsidP="006E55EB">
      <w:pPr>
        <w:spacing w:after="0"/>
        <w:rPr>
          <w:rFonts w:cs="Arial"/>
        </w:rPr>
      </w:pPr>
      <w:r>
        <w:rPr>
          <w:rFonts w:cs="Arial"/>
        </w:rPr>
        <w:t>Online Shop: shop.rnib.org.uk</w:t>
      </w:r>
    </w:p>
    <w:p w14:paraId="304BA57A" w14:textId="77777777" w:rsidR="00970E74" w:rsidRDefault="00970E74">
      <w:pPr>
        <w:rPr>
          <w:rFonts w:cs="Arial"/>
        </w:rPr>
      </w:pPr>
    </w:p>
    <w:p w14:paraId="611810FC" w14:textId="77777777" w:rsidR="00970E74" w:rsidRDefault="005F3B12">
      <w:pPr>
        <w:rPr>
          <w:rFonts w:cs="Arial"/>
        </w:rPr>
      </w:pPr>
      <w:r>
        <w:rPr>
          <w:rFonts w:cs="Arial"/>
        </w:rPr>
        <w:t xml:space="preserve">Email for international customers: exports@rnib.org.uk </w:t>
      </w:r>
    </w:p>
    <w:p w14:paraId="73508150" w14:textId="77777777" w:rsidR="00970E74" w:rsidRDefault="00970E74"/>
    <w:p w14:paraId="727DDE3C" w14:textId="77777777" w:rsidR="00970E74" w:rsidRDefault="005F3B12">
      <w:pPr>
        <w:pStyle w:val="Heading2"/>
      </w:pPr>
      <w:bookmarkStart w:id="14" w:name="_Toc378689219"/>
      <w:r>
        <w:t>Terms and conditions of sale</w:t>
      </w:r>
      <w:bookmarkEnd w:id="14"/>
    </w:p>
    <w:p w14:paraId="61C38D85" w14:textId="77777777" w:rsidR="00970E74" w:rsidRDefault="005F3B12">
      <w:r>
        <w:t xml:space="preserve">This product is guaranteed from manufacturing </w:t>
      </w:r>
      <w:r w:rsidRPr="005541D2">
        <w:t>faults for 24 months</w:t>
      </w:r>
      <w:r>
        <w:t xml:space="preserve"> from the date of purchase.  If you have any issues with the product and you did not purchase directly from RNIB then please contact your retailer in the first instance. </w:t>
      </w:r>
    </w:p>
    <w:p w14:paraId="2A03198C" w14:textId="77777777" w:rsidR="00970E74" w:rsidRDefault="00970E74"/>
    <w:p w14:paraId="53F7DCA9" w14:textId="77777777" w:rsidR="00970E74" w:rsidRDefault="005F3B12">
      <w:r>
        <w:t xml:space="preserve">For all returns and repairs contact RNIB first to get a returns authorisation number to help us deal efficiently with your product return. </w:t>
      </w:r>
    </w:p>
    <w:p w14:paraId="66D92033" w14:textId="77777777" w:rsidR="00970E74" w:rsidRDefault="00970E74"/>
    <w:p w14:paraId="32B53871" w14:textId="77777777" w:rsidR="00970E74" w:rsidRDefault="005F3B12">
      <w:r>
        <w:t xml:space="preserve">You can request full terms and conditions from RNIB or view them online. </w:t>
      </w:r>
    </w:p>
    <w:p w14:paraId="6D4320D0" w14:textId="77777777" w:rsidR="00970E74" w:rsidRDefault="00970E74"/>
    <w:p w14:paraId="434EBCA1" w14:textId="37416E4C" w:rsidR="00970E74" w:rsidRDefault="005F3B12">
      <w:pPr>
        <w:autoSpaceDE w:val="0"/>
        <w:autoSpaceDN w:val="0"/>
        <w:adjustRightInd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w:t>
      </w:r>
      <w:r>
        <w:rPr>
          <w:rFonts w:cs="Arial"/>
          <w:szCs w:val="32"/>
        </w:rPr>
        <w:lastRenderedPageBreak/>
        <w:t>(SCO39316) and Isle of Man (1</w:t>
      </w:r>
      <w:r w:rsidR="003A2357">
        <w:rPr>
          <w:rFonts w:cs="Arial"/>
          <w:szCs w:val="32"/>
        </w:rPr>
        <w:t>226</w:t>
      </w:r>
      <w:r>
        <w:rPr>
          <w:rFonts w:cs="Arial"/>
          <w:szCs w:val="32"/>
        </w:rPr>
        <w:t xml:space="preserve">). RNIB Enterprises Limited covenants </w:t>
      </w:r>
      <w:proofErr w:type="gramStart"/>
      <w:r>
        <w:rPr>
          <w:rFonts w:cs="Arial"/>
          <w:szCs w:val="32"/>
        </w:rPr>
        <w:t>all of</w:t>
      </w:r>
      <w:proofErr w:type="gramEnd"/>
      <w:r>
        <w:rPr>
          <w:rFonts w:cs="Arial"/>
          <w:szCs w:val="32"/>
        </w:rPr>
        <w:t xml:space="preserve"> its taxable profits to RNIB.</w:t>
      </w:r>
    </w:p>
    <w:p w14:paraId="3EA74A13" w14:textId="77777777" w:rsidR="00970E74" w:rsidRDefault="00970E74">
      <w:pPr>
        <w:autoSpaceDE w:val="0"/>
        <w:autoSpaceDN w:val="0"/>
        <w:adjustRightInd w:val="0"/>
        <w:rPr>
          <w:rFonts w:cs="Arial"/>
          <w:szCs w:val="32"/>
        </w:rPr>
      </w:pPr>
    </w:p>
    <w:p w14:paraId="32D18FB9" w14:textId="77777777" w:rsidR="00970E74" w:rsidRDefault="005F3B12">
      <w:r>
        <w:rPr>
          <w:noProof/>
        </w:rPr>
        <w:drawing>
          <wp:inline distT="0" distB="0" distL="0" distR="0" wp14:anchorId="4D04742E" wp14:editId="3EE9D789">
            <wp:extent cx="476250" cy="371475"/>
            <wp:effectExtent l="0" t="0" r="0" b="952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6250" cy="371475"/>
                    </a:xfrm>
                    <a:prstGeom prst="rect">
                      <a:avLst/>
                    </a:prstGeom>
                    <a:noFill/>
                    <a:ln>
                      <a:noFill/>
                    </a:ln>
                  </pic:spPr>
                </pic:pic>
              </a:graphicData>
            </a:graphic>
          </wp:inline>
        </w:drawing>
      </w:r>
      <w:r>
        <w:t xml:space="preserve">  </w:t>
      </w:r>
    </w:p>
    <w:p w14:paraId="2C83775D" w14:textId="77777777" w:rsidR="00970E74" w:rsidRDefault="00970E74"/>
    <w:p w14:paraId="4A86E561" w14:textId="77777777" w:rsidR="00970E74" w:rsidRDefault="005F3B12">
      <w:r>
        <w:t xml:space="preserve">This product is CE marked and fully complies with all applicable EU legislation. </w:t>
      </w:r>
    </w:p>
    <w:p w14:paraId="341A95BA" w14:textId="77777777" w:rsidR="00970E74" w:rsidRDefault="00970E74"/>
    <w:p w14:paraId="7AEED217" w14:textId="77777777" w:rsidR="00970E74" w:rsidRDefault="005F3B12">
      <w:r>
        <w:rPr>
          <w:noProof/>
        </w:rPr>
        <w:drawing>
          <wp:inline distT="0" distB="0" distL="0" distR="0" wp14:anchorId="2BFE7FE8" wp14:editId="5D7DB8A7">
            <wp:extent cx="657225" cy="885825"/>
            <wp:effectExtent l="0" t="0" r="9525" b="9525"/>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EE symb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57225" cy="885825"/>
                    </a:xfrm>
                    <a:prstGeom prst="rect">
                      <a:avLst/>
                    </a:prstGeom>
                    <a:noFill/>
                    <a:ln>
                      <a:noFill/>
                    </a:ln>
                  </pic:spPr>
                </pic:pic>
              </a:graphicData>
            </a:graphic>
          </wp:inline>
        </w:drawing>
      </w:r>
      <w:r>
        <w:t xml:space="preserve">  </w:t>
      </w:r>
    </w:p>
    <w:p w14:paraId="36FEAE2C" w14:textId="77777777" w:rsidR="00970E74" w:rsidRDefault="00970E74"/>
    <w:p w14:paraId="636CA486" w14:textId="77777777" w:rsidR="00970E74" w:rsidRDefault="005F3B1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Pr>
            <w:rStyle w:val="Hyperlink"/>
          </w:rPr>
          <w:t>www.recyclenow.com</w:t>
        </w:r>
      </w:hyperlink>
      <w:r>
        <w:t>.</w:t>
      </w:r>
    </w:p>
    <w:p w14:paraId="59F0A103" w14:textId="77777777" w:rsidR="00970E74" w:rsidRDefault="00970E74"/>
    <w:p w14:paraId="7F5DE559" w14:textId="77777777" w:rsidR="00970E74" w:rsidRDefault="005F3B12">
      <w:pPr>
        <w:pStyle w:val="Heading3"/>
      </w:pPr>
      <w:r>
        <w:t>Why recycle?</w:t>
      </w:r>
    </w:p>
    <w:p w14:paraId="503491CD" w14:textId="77777777" w:rsidR="00970E74" w:rsidRDefault="005F3B12">
      <w:r>
        <w:t>Unwanted electrical equipment is the UK’s fastest growing type of waste.</w:t>
      </w:r>
    </w:p>
    <w:p w14:paraId="0BCA32BA" w14:textId="77777777" w:rsidR="00970E74" w:rsidRDefault="00970E74"/>
    <w:p w14:paraId="6708C776" w14:textId="77777777" w:rsidR="00970E74" w:rsidRDefault="005F3B1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6D8D50E" w14:textId="77777777" w:rsidR="00970E74" w:rsidRDefault="00970E74"/>
    <w:p w14:paraId="57725619" w14:textId="77777777" w:rsidR="00970E74" w:rsidRDefault="005F3B12">
      <w:r>
        <w:t>RNIB are proud to support your local authority in providing local recycling facilities for electrical equipment.</w:t>
      </w:r>
    </w:p>
    <w:p w14:paraId="585DD905" w14:textId="77777777" w:rsidR="00970E74" w:rsidRDefault="00970E74">
      <w:pPr>
        <w:autoSpaceDE w:val="0"/>
        <w:autoSpaceDN w:val="0"/>
        <w:adjustRightInd w:val="0"/>
        <w:ind w:right="-46"/>
        <w:rPr>
          <w:rFonts w:ascii="Helvetica" w:hAnsi="Helvetica" w:cs="Arial"/>
          <w:b/>
          <w:sz w:val="28"/>
        </w:rPr>
      </w:pPr>
    </w:p>
    <w:p w14:paraId="235B69CA" w14:textId="77777777" w:rsidR="00970E74" w:rsidRDefault="005F3B12">
      <w:pPr>
        <w:rPr>
          <w:rFonts w:eastAsia="Calibri"/>
        </w:rPr>
      </w:pPr>
      <w:r>
        <w:rPr>
          <w:rFonts w:eastAsia="Calibri"/>
        </w:rPr>
        <w:t>To remind you that old electrical equipment can be recycled, it is now marked with the crossed-out wheeled bin symbol. Please do not throw any electrical equipment (including those marked with this symbol) in your bin.</w:t>
      </w:r>
    </w:p>
    <w:p w14:paraId="04F61D1D" w14:textId="77777777" w:rsidR="00970E74" w:rsidRDefault="00970E74">
      <w:pPr>
        <w:autoSpaceDE w:val="0"/>
        <w:autoSpaceDN w:val="0"/>
        <w:adjustRightInd w:val="0"/>
        <w:rPr>
          <w:rFonts w:ascii="Helvetica" w:hAnsi="Helvetica" w:cs="Arial"/>
          <w:bCs/>
        </w:rPr>
      </w:pPr>
    </w:p>
    <w:p w14:paraId="70C793E2" w14:textId="77777777" w:rsidR="00970E74" w:rsidRDefault="005F3B12">
      <w:pPr>
        <w:pStyle w:val="Heading3"/>
      </w:pPr>
      <w:r>
        <w:t>What is WEEE?</w:t>
      </w:r>
    </w:p>
    <w:p w14:paraId="338147B4" w14:textId="77777777" w:rsidR="00970E74" w:rsidRDefault="005F3B12">
      <w:pPr>
        <w:rPr>
          <w:rFonts w:eastAsia="Calibri"/>
        </w:rPr>
      </w:pPr>
      <w:r>
        <w:rPr>
          <w:rFonts w:eastAsia="Calibri"/>
        </w:rPr>
        <w:t>The Waste Electrical or Electronic Equipment (WEEE) Directive requires countries to maximise separate collection and environmentally friendly processing of these items.</w:t>
      </w:r>
    </w:p>
    <w:p w14:paraId="01A88EF3" w14:textId="77777777" w:rsidR="00970E74" w:rsidRDefault="00970E74">
      <w:pPr>
        <w:autoSpaceDE w:val="0"/>
        <w:autoSpaceDN w:val="0"/>
        <w:adjustRightInd w:val="0"/>
        <w:rPr>
          <w:rFonts w:ascii="Helvetica" w:eastAsia="Calibri" w:hAnsi="Helvetica" w:cs="FuturaLT"/>
          <w:szCs w:val="22"/>
        </w:rPr>
      </w:pPr>
    </w:p>
    <w:p w14:paraId="3A80A97D" w14:textId="77777777" w:rsidR="00970E74" w:rsidRDefault="005F3B12">
      <w:pPr>
        <w:pStyle w:val="Heading3"/>
      </w:pPr>
      <w:r>
        <w:t>How are we helping?</w:t>
      </w:r>
    </w:p>
    <w:p w14:paraId="74F2F680" w14:textId="77777777" w:rsidR="00970E74" w:rsidRDefault="005F3B12">
      <w:pPr>
        <w:rPr>
          <w:rFonts w:eastAsia="Calibri"/>
        </w:rPr>
      </w:pPr>
      <w:r>
        <w:rPr>
          <w:rFonts w:eastAsia="Calibri"/>
        </w:rPr>
        <w:t xml:space="preserve">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 </w:t>
      </w:r>
    </w:p>
    <w:p w14:paraId="791366E0" w14:textId="49F82EEA" w:rsidR="00970E74" w:rsidRDefault="005F3B12">
      <w:r>
        <w:t xml:space="preserve">Date: </w:t>
      </w:r>
      <w:r w:rsidR="005541D2">
        <w:t>September</w:t>
      </w:r>
      <w:r>
        <w:t xml:space="preserve"> 2020.</w:t>
      </w:r>
    </w:p>
    <w:p w14:paraId="60DAA569" w14:textId="224A6C5F" w:rsidR="00970E74" w:rsidRDefault="005F3B12">
      <w:pPr>
        <w:autoSpaceDE w:val="0"/>
        <w:autoSpaceDN w:val="0"/>
        <w:adjustRightInd w:val="0"/>
        <w:rPr>
          <w:rFonts w:cs="Arial"/>
          <w:szCs w:val="32"/>
        </w:rPr>
      </w:pPr>
      <w:r>
        <w:rPr>
          <w:rFonts w:cs="Arial"/>
          <w:szCs w:val="32"/>
        </w:rPr>
        <w:t>© 2020</w:t>
      </w:r>
      <w:bookmarkStart w:id="15" w:name="_GoBack"/>
      <w:bookmarkEnd w:id="15"/>
    </w:p>
    <w:sectPr w:rsidR="00970E74">
      <w:footerReference w:type="even" r:id="rId15"/>
      <w:footerReference w:type="default" r:id="rId16"/>
      <w:pgSz w:w="11906" w:h="16838"/>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37A8" w14:textId="77777777" w:rsidR="004536C8" w:rsidRDefault="005F3B12">
      <w:pPr>
        <w:spacing w:after="0" w:line="240" w:lineRule="auto"/>
      </w:pPr>
      <w:r>
        <w:separator/>
      </w:r>
    </w:p>
  </w:endnote>
  <w:endnote w:type="continuationSeparator" w:id="0">
    <w:p w14:paraId="2361A3D1" w14:textId="77777777" w:rsidR="004536C8" w:rsidRDefault="005F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7E77" w14:textId="77777777" w:rsidR="00970E74" w:rsidRDefault="005F3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385C7" w14:textId="77777777" w:rsidR="00970E74" w:rsidRDefault="00970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0C0D" w14:textId="77777777" w:rsidR="00970E74" w:rsidRDefault="005F3B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79AE5404" w14:textId="77777777" w:rsidR="00970E74" w:rsidRDefault="00970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7184" w14:textId="77777777" w:rsidR="004536C8" w:rsidRDefault="005F3B12">
      <w:pPr>
        <w:spacing w:after="0" w:line="240" w:lineRule="auto"/>
      </w:pPr>
      <w:r>
        <w:separator/>
      </w:r>
    </w:p>
  </w:footnote>
  <w:footnote w:type="continuationSeparator" w:id="0">
    <w:p w14:paraId="2B8F0112" w14:textId="77777777" w:rsidR="004536C8" w:rsidRDefault="005F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31D5"/>
    <w:rsid w:val="00044C09"/>
    <w:rsid w:val="00045002"/>
    <w:rsid w:val="0004756B"/>
    <w:rsid w:val="000475BC"/>
    <w:rsid w:val="000501A7"/>
    <w:rsid w:val="00050A92"/>
    <w:rsid w:val="00054A0F"/>
    <w:rsid w:val="000551E8"/>
    <w:rsid w:val="00056B2B"/>
    <w:rsid w:val="00056E58"/>
    <w:rsid w:val="00061624"/>
    <w:rsid w:val="00061C07"/>
    <w:rsid w:val="000625F0"/>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4334"/>
    <w:rsid w:val="0013517C"/>
    <w:rsid w:val="0013520E"/>
    <w:rsid w:val="00137B2C"/>
    <w:rsid w:val="0014014E"/>
    <w:rsid w:val="00144307"/>
    <w:rsid w:val="00144D44"/>
    <w:rsid w:val="0014657C"/>
    <w:rsid w:val="001519A7"/>
    <w:rsid w:val="00153860"/>
    <w:rsid w:val="00153DDC"/>
    <w:rsid w:val="001562AD"/>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5965"/>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9A2"/>
    <w:rsid w:val="001B4D90"/>
    <w:rsid w:val="001B4EDE"/>
    <w:rsid w:val="001B543C"/>
    <w:rsid w:val="001B74FF"/>
    <w:rsid w:val="001B7936"/>
    <w:rsid w:val="001C3D4F"/>
    <w:rsid w:val="001C6D56"/>
    <w:rsid w:val="001C7D97"/>
    <w:rsid w:val="001D167B"/>
    <w:rsid w:val="001D2FC4"/>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77483"/>
    <w:rsid w:val="00281AC2"/>
    <w:rsid w:val="00282D18"/>
    <w:rsid w:val="0028773E"/>
    <w:rsid w:val="00287B10"/>
    <w:rsid w:val="00296297"/>
    <w:rsid w:val="002A0ECC"/>
    <w:rsid w:val="002A4469"/>
    <w:rsid w:val="002A44C6"/>
    <w:rsid w:val="002A5967"/>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17B76"/>
    <w:rsid w:val="003212ED"/>
    <w:rsid w:val="00321C65"/>
    <w:rsid w:val="00325758"/>
    <w:rsid w:val="00327620"/>
    <w:rsid w:val="00331433"/>
    <w:rsid w:val="00335393"/>
    <w:rsid w:val="003367F9"/>
    <w:rsid w:val="003369AF"/>
    <w:rsid w:val="00337670"/>
    <w:rsid w:val="00342102"/>
    <w:rsid w:val="00344A4E"/>
    <w:rsid w:val="00347CD6"/>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81E"/>
    <w:rsid w:val="003712CF"/>
    <w:rsid w:val="00373551"/>
    <w:rsid w:val="00373608"/>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2357"/>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2F3E"/>
    <w:rsid w:val="003F67CD"/>
    <w:rsid w:val="00402422"/>
    <w:rsid w:val="004035C0"/>
    <w:rsid w:val="00404693"/>
    <w:rsid w:val="00404CF5"/>
    <w:rsid w:val="0040560E"/>
    <w:rsid w:val="00406644"/>
    <w:rsid w:val="004113BE"/>
    <w:rsid w:val="00413D4E"/>
    <w:rsid w:val="004149FA"/>
    <w:rsid w:val="00415C66"/>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6C8"/>
    <w:rsid w:val="00453BD1"/>
    <w:rsid w:val="0045786D"/>
    <w:rsid w:val="00464D60"/>
    <w:rsid w:val="00467A60"/>
    <w:rsid w:val="00467DEA"/>
    <w:rsid w:val="00467EBE"/>
    <w:rsid w:val="00470562"/>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A93"/>
    <w:rsid w:val="004A3B14"/>
    <w:rsid w:val="004A6B2D"/>
    <w:rsid w:val="004B09D4"/>
    <w:rsid w:val="004B0E16"/>
    <w:rsid w:val="004B391C"/>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801"/>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41D2"/>
    <w:rsid w:val="0055534B"/>
    <w:rsid w:val="00555BB2"/>
    <w:rsid w:val="00557271"/>
    <w:rsid w:val="00561C69"/>
    <w:rsid w:val="005620C2"/>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3B12"/>
    <w:rsid w:val="0060027A"/>
    <w:rsid w:val="006003F6"/>
    <w:rsid w:val="00602D02"/>
    <w:rsid w:val="0060419D"/>
    <w:rsid w:val="0060565D"/>
    <w:rsid w:val="00610E00"/>
    <w:rsid w:val="00612391"/>
    <w:rsid w:val="006148ED"/>
    <w:rsid w:val="006159D5"/>
    <w:rsid w:val="006171FD"/>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A86"/>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5F53"/>
    <w:rsid w:val="006B6CBB"/>
    <w:rsid w:val="006C091A"/>
    <w:rsid w:val="006C51C0"/>
    <w:rsid w:val="006C54C0"/>
    <w:rsid w:val="006C7148"/>
    <w:rsid w:val="006D19EA"/>
    <w:rsid w:val="006D36DE"/>
    <w:rsid w:val="006D5EE9"/>
    <w:rsid w:val="006D63B8"/>
    <w:rsid w:val="006D68F7"/>
    <w:rsid w:val="006D7CE2"/>
    <w:rsid w:val="006E2039"/>
    <w:rsid w:val="006E46BE"/>
    <w:rsid w:val="006E5104"/>
    <w:rsid w:val="006E51BC"/>
    <w:rsid w:val="006E55EB"/>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6FC3"/>
    <w:rsid w:val="007D7B32"/>
    <w:rsid w:val="007D7D73"/>
    <w:rsid w:val="007E1836"/>
    <w:rsid w:val="007E30D6"/>
    <w:rsid w:val="007E5AA7"/>
    <w:rsid w:val="007E604E"/>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17CA9"/>
    <w:rsid w:val="00820314"/>
    <w:rsid w:val="00821C9E"/>
    <w:rsid w:val="00823756"/>
    <w:rsid w:val="00824873"/>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3939"/>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048F"/>
    <w:rsid w:val="008A0CEB"/>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2ED8"/>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2B52"/>
    <w:rsid w:val="0093461F"/>
    <w:rsid w:val="009353EC"/>
    <w:rsid w:val="009355D4"/>
    <w:rsid w:val="009443F3"/>
    <w:rsid w:val="009450EF"/>
    <w:rsid w:val="00945494"/>
    <w:rsid w:val="00946353"/>
    <w:rsid w:val="00946CA9"/>
    <w:rsid w:val="00946F1A"/>
    <w:rsid w:val="00950A60"/>
    <w:rsid w:val="0095120F"/>
    <w:rsid w:val="0095318C"/>
    <w:rsid w:val="009531F4"/>
    <w:rsid w:val="00966EDB"/>
    <w:rsid w:val="00970E74"/>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6A57"/>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3CB8"/>
    <w:rsid w:val="00A2414C"/>
    <w:rsid w:val="00A26150"/>
    <w:rsid w:val="00A27A38"/>
    <w:rsid w:val="00A300FA"/>
    <w:rsid w:val="00A33968"/>
    <w:rsid w:val="00A34D5B"/>
    <w:rsid w:val="00A36CB0"/>
    <w:rsid w:val="00A37D93"/>
    <w:rsid w:val="00A42C6F"/>
    <w:rsid w:val="00A43EBC"/>
    <w:rsid w:val="00A447D5"/>
    <w:rsid w:val="00A44E00"/>
    <w:rsid w:val="00A45723"/>
    <w:rsid w:val="00A505F7"/>
    <w:rsid w:val="00A52BAD"/>
    <w:rsid w:val="00A5309F"/>
    <w:rsid w:val="00A549DD"/>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2DF0"/>
    <w:rsid w:val="00AA3FA2"/>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09FE"/>
    <w:rsid w:val="00AF058C"/>
    <w:rsid w:val="00AF1D58"/>
    <w:rsid w:val="00AF4B19"/>
    <w:rsid w:val="00AF4DF5"/>
    <w:rsid w:val="00AF7549"/>
    <w:rsid w:val="00B01384"/>
    <w:rsid w:val="00B02179"/>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596"/>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6004"/>
    <w:rsid w:val="00B82F60"/>
    <w:rsid w:val="00B83474"/>
    <w:rsid w:val="00B856D2"/>
    <w:rsid w:val="00B8694D"/>
    <w:rsid w:val="00B90289"/>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24B7"/>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2D"/>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090D"/>
    <w:rsid w:val="00C81D48"/>
    <w:rsid w:val="00C830D3"/>
    <w:rsid w:val="00C83BB2"/>
    <w:rsid w:val="00C85C4E"/>
    <w:rsid w:val="00C8692F"/>
    <w:rsid w:val="00C87F85"/>
    <w:rsid w:val="00C908CB"/>
    <w:rsid w:val="00C92424"/>
    <w:rsid w:val="00C9456F"/>
    <w:rsid w:val="00C95272"/>
    <w:rsid w:val="00C9538C"/>
    <w:rsid w:val="00C96134"/>
    <w:rsid w:val="00C96E0A"/>
    <w:rsid w:val="00CA03E8"/>
    <w:rsid w:val="00CA0721"/>
    <w:rsid w:val="00CA5914"/>
    <w:rsid w:val="00CA63C7"/>
    <w:rsid w:val="00CA71EF"/>
    <w:rsid w:val="00CB0194"/>
    <w:rsid w:val="00CB0B99"/>
    <w:rsid w:val="00CB2B1C"/>
    <w:rsid w:val="00CB70C3"/>
    <w:rsid w:val="00CB73ED"/>
    <w:rsid w:val="00CB7763"/>
    <w:rsid w:val="00CC1716"/>
    <w:rsid w:val="00CC2A1C"/>
    <w:rsid w:val="00CC2FC9"/>
    <w:rsid w:val="00CC3E4D"/>
    <w:rsid w:val="00CC74A4"/>
    <w:rsid w:val="00CC7BF1"/>
    <w:rsid w:val="00CD2482"/>
    <w:rsid w:val="00CD2702"/>
    <w:rsid w:val="00CD41DF"/>
    <w:rsid w:val="00CD4361"/>
    <w:rsid w:val="00CD5EB0"/>
    <w:rsid w:val="00CD712F"/>
    <w:rsid w:val="00CD72CB"/>
    <w:rsid w:val="00CE0339"/>
    <w:rsid w:val="00CE07FC"/>
    <w:rsid w:val="00CE2DF6"/>
    <w:rsid w:val="00CE44D2"/>
    <w:rsid w:val="00CE68CB"/>
    <w:rsid w:val="00CF06B9"/>
    <w:rsid w:val="00CF141F"/>
    <w:rsid w:val="00CF2856"/>
    <w:rsid w:val="00CF437F"/>
    <w:rsid w:val="00CF5374"/>
    <w:rsid w:val="00CF5862"/>
    <w:rsid w:val="00CF6D01"/>
    <w:rsid w:val="00CF7FE2"/>
    <w:rsid w:val="00D00E8B"/>
    <w:rsid w:val="00D02EDE"/>
    <w:rsid w:val="00D0376A"/>
    <w:rsid w:val="00D037D3"/>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1262"/>
    <w:rsid w:val="00DA261E"/>
    <w:rsid w:val="00DA5084"/>
    <w:rsid w:val="00DA60A1"/>
    <w:rsid w:val="00DA64DA"/>
    <w:rsid w:val="00DA688B"/>
    <w:rsid w:val="00DB119F"/>
    <w:rsid w:val="00DB373C"/>
    <w:rsid w:val="00DB3A40"/>
    <w:rsid w:val="00DB4880"/>
    <w:rsid w:val="00DB5D13"/>
    <w:rsid w:val="00DB644D"/>
    <w:rsid w:val="00DB6D50"/>
    <w:rsid w:val="00DC14A1"/>
    <w:rsid w:val="00DC3593"/>
    <w:rsid w:val="00DC575F"/>
    <w:rsid w:val="00DC6FA5"/>
    <w:rsid w:val="00DC7004"/>
    <w:rsid w:val="00DD05F9"/>
    <w:rsid w:val="00DD151F"/>
    <w:rsid w:val="00DD1E23"/>
    <w:rsid w:val="00DD574F"/>
    <w:rsid w:val="00DD7186"/>
    <w:rsid w:val="00DE3694"/>
    <w:rsid w:val="00DE73B9"/>
    <w:rsid w:val="00DF39F1"/>
    <w:rsid w:val="00DF3B58"/>
    <w:rsid w:val="00DF4145"/>
    <w:rsid w:val="00E0273C"/>
    <w:rsid w:val="00E06EC8"/>
    <w:rsid w:val="00E0740A"/>
    <w:rsid w:val="00E10218"/>
    <w:rsid w:val="00E127D4"/>
    <w:rsid w:val="00E1724D"/>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83A"/>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C6662"/>
    <w:rsid w:val="00ED0A69"/>
    <w:rsid w:val="00ED2329"/>
    <w:rsid w:val="00ED3C7C"/>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50AA"/>
    <w:rsid w:val="00F16469"/>
    <w:rsid w:val="00F20B70"/>
    <w:rsid w:val="00F21868"/>
    <w:rsid w:val="00F2715C"/>
    <w:rsid w:val="00F33415"/>
    <w:rsid w:val="00F334E8"/>
    <w:rsid w:val="00F344AD"/>
    <w:rsid w:val="00F354FA"/>
    <w:rsid w:val="00F35C29"/>
    <w:rsid w:val="00F366E9"/>
    <w:rsid w:val="00F3742C"/>
    <w:rsid w:val="00F42D00"/>
    <w:rsid w:val="00F42D86"/>
    <w:rsid w:val="00F44664"/>
    <w:rsid w:val="00F45DFE"/>
    <w:rsid w:val="00F47BEB"/>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3CD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01172119"/>
    <w:rsid w:val="07081DF6"/>
    <w:rsid w:val="1E467F61"/>
    <w:rsid w:val="21EF6853"/>
    <w:rsid w:val="2298698C"/>
    <w:rsid w:val="2E354563"/>
    <w:rsid w:val="326B6B28"/>
    <w:rsid w:val="36AE0649"/>
    <w:rsid w:val="393C1EF8"/>
    <w:rsid w:val="3BC50611"/>
    <w:rsid w:val="506511C0"/>
    <w:rsid w:val="589C0F26"/>
    <w:rsid w:val="58C13165"/>
    <w:rsid w:val="5E953767"/>
    <w:rsid w:val="5FDF6E7E"/>
    <w:rsid w:val="799F43C4"/>
    <w:rsid w:val="7E7946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F8AB4"/>
  <w15:docId w15:val="{34DC0F41-352C-4001-B857-154C31E1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lsdException w:name="header" w:semiHidden="1" w:unhideWhenUsed="1"/>
    <w:lsdException w:name="index heading" w:semiHidden="1" w:unhideWhenUsed="1"/>
    <w:lsdException w:name="caption" w:qFormat="1"/>
    <w:lsdException w:name="table of figures" w:semiHidden="1" w:qFormat="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lsdException w:name="List Bullet" w:qFormat="1"/>
    <w:lsdException w:name="List Number" w:uiPriority="99"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32"/>
    </w:rPr>
  </w:style>
  <w:style w:type="paragraph" w:styleId="Heading1">
    <w:name w:val="heading 1"/>
    <w:basedOn w:val="Normal"/>
    <w:next w:val="Normal"/>
    <w:qFormat/>
    <w:pPr>
      <w:keepNext/>
      <w:spacing w:after="140"/>
      <w:outlineLvl w:val="0"/>
    </w:pPr>
    <w:rPr>
      <w:b/>
      <w:kern w:val="32"/>
      <w:sz w:val="44"/>
    </w:rPr>
  </w:style>
  <w:style w:type="paragraph" w:styleId="Heading2">
    <w:name w:val="heading 2"/>
    <w:basedOn w:val="Normal"/>
    <w:next w:val="Normal"/>
    <w:link w:val="Heading2Char"/>
    <w:uiPriority w:val="9"/>
    <w:qFormat/>
    <w:pPr>
      <w:keepNext/>
      <w:spacing w:after="120"/>
      <w:outlineLvl w:val="1"/>
    </w:pPr>
    <w:rPr>
      <w:b/>
      <w:sz w:val="36"/>
    </w:rPr>
  </w:style>
  <w:style w:type="paragraph" w:styleId="Heading3">
    <w:name w:val="heading 3"/>
    <w:basedOn w:val="Normal"/>
    <w:next w:val="Normal"/>
    <w:link w:val="Heading3Char"/>
    <w:qFormat/>
    <w:pPr>
      <w:keepNext/>
      <w:spacing w:after="100"/>
      <w:outlineLvl w:val="2"/>
    </w:pPr>
    <w:rPr>
      <w:b/>
    </w:rPr>
  </w:style>
  <w:style w:type="paragraph" w:styleId="Heading4">
    <w:name w:val="heading 4"/>
    <w:basedOn w:val="Normal"/>
    <w:next w:val="Normal"/>
    <w:qFormat/>
    <w:pPr>
      <w:keepNext/>
      <w:spacing w:after="80"/>
      <w:outlineLvl w:val="3"/>
    </w:pPr>
    <w:rPr>
      <w:b/>
    </w:rPr>
  </w:style>
  <w:style w:type="paragraph" w:styleId="Heading5">
    <w:name w:val="heading 5"/>
    <w:basedOn w:val="Normal"/>
    <w:next w:val="Normal"/>
    <w:qFormat/>
    <w:pPr>
      <w:keepNext/>
      <w:spacing w:after="60"/>
      <w:outlineLvl w:val="4"/>
    </w:pPr>
    <w:rPr>
      <w:b/>
    </w:rPr>
  </w:style>
  <w:style w:type="paragraph" w:styleId="Heading6">
    <w:name w:val="heading 6"/>
    <w:basedOn w:val="Normal"/>
    <w:next w:val="Normal"/>
    <w:qFormat/>
    <w:pPr>
      <w:keepNext/>
      <w:spacing w:after="40"/>
      <w:outlineLvl w:val="5"/>
    </w:pPr>
    <w:rPr>
      <w: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pPr>
      <w:ind w:left="849" w:hanging="283"/>
    </w:pPr>
  </w:style>
  <w:style w:type="paragraph" w:styleId="ListNumber2">
    <w:name w:val="List Number 2"/>
    <w:basedOn w:val="Normal"/>
    <w:semiHidden/>
    <w:pPr>
      <w:numPr>
        <w:numId w:val="1"/>
      </w:numPr>
    </w:pPr>
  </w:style>
  <w:style w:type="paragraph" w:styleId="NoteHeading">
    <w:name w:val="Note Heading"/>
    <w:basedOn w:val="Normal"/>
    <w:next w:val="Normal"/>
    <w:semiHidden/>
  </w:style>
  <w:style w:type="paragraph" w:styleId="ListBullet4">
    <w:name w:val="List Bullet 4"/>
    <w:basedOn w:val="Normal"/>
    <w:semiHidden/>
    <w:pPr>
      <w:numPr>
        <w:numId w:val="2"/>
      </w:numPr>
    </w:pPr>
  </w:style>
  <w:style w:type="paragraph" w:styleId="E-mailSignature">
    <w:name w:val="E-mail Signature"/>
    <w:basedOn w:val="Normal"/>
    <w:semiHidden/>
  </w:style>
  <w:style w:type="paragraph" w:styleId="ListNumber">
    <w:name w:val="List Number"/>
    <w:basedOn w:val="Normal"/>
    <w:uiPriority w:val="99"/>
    <w:qFormat/>
    <w:pPr>
      <w:numPr>
        <w:numId w:val="3"/>
      </w:numPr>
      <w:tabs>
        <w:tab w:val="clear" w:pos="360"/>
        <w:tab w:val="left" w:pos="567"/>
        <w:tab w:val="left" w:pos="851"/>
      </w:tabs>
      <w:ind w:left="567" w:hanging="567"/>
    </w:pPr>
  </w:style>
  <w:style w:type="paragraph" w:styleId="NormalIndent">
    <w:name w:val="Normal Indent"/>
    <w:basedOn w:val="Normal"/>
    <w:semiHidden/>
    <w:pPr>
      <w:ind w:left="720"/>
    </w:pPr>
  </w:style>
  <w:style w:type="paragraph" w:styleId="Caption">
    <w:name w:val="caption"/>
    <w:basedOn w:val="Normal"/>
    <w:next w:val="Normal"/>
    <w:qFormat/>
    <w:rPr>
      <w:b/>
    </w:rPr>
  </w:style>
  <w:style w:type="paragraph" w:styleId="ListBullet">
    <w:name w:val="List Bullet"/>
    <w:basedOn w:val="Normal"/>
    <w:qFormat/>
    <w:pPr>
      <w:numPr>
        <w:numId w:val="4"/>
      </w:numPr>
      <w:tabs>
        <w:tab w:val="left" w:pos="567"/>
      </w:tabs>
    </w:pPr>
  </w:style>
  <w:style w:type="paragraph" w:styleId="EnvelopeAddress">
    <w:name w:val="envelope address"/>
    <w:basedOn w:val="Normal"/>
    <w:semiHidden/>
    <w:pPr>
      <w:framePr w:w="7920" w:h="1980" w:hRule="exact" w:hSpace="180" w:wrap="around" w:hAnchor="page" w:xAlign="center" w:yAlign="bottom"/>
      <w:ind w:left="2880"/>
    </w:pPr>
    <w:rPr>
      <w:sz w:val="24"/>
      <w:szCs w:val="24"/>
    </w:rPr>
  </w:style>
  <w:style w:type="paragraph" w:styleId="CommentText">
    <w:name w:val="annotation text"/>
    <w:basedOn w:val="Normal"/>
    <w:semiHidden/>
    <w:rPr>
      <w:sz w:val="20"/>
    </w:rPr>
  </w:style>
  <w:style w:type="paragraph" w:styleId="Salutation">
    <w:name w:val="Salutation"/>
    <w:basedOn w:val="Normal"/>
    <w:next w:val="Normal"/>
    <w:semiHidden/>
  </w:style>
  <w:style w:type="paragraph" w:styleId="BodyText3">
    <w:name w:val="Body Text 3"/>
    <w:basedOn w:val="Normal"/>
    <w:semiHidden/>
    <w:pPr>
      <w:spacing w:after="120"/>
    </w:pPr>
    <w:rPr>
      <w:sz w:val="16"/>
      <w:szCs w:val="16"/>
    </w:rPr>
  </w:style>
  <w:style w:type="paragraph" w:styleId="Closing">
    <w:name w:val="Closing"/>
    <w:basedOn w:val="Normal"/>
    <w:semiHidden/>
    <w:pPr>
      <w:ind w:left="4252"/>
    </w:pPr>
  </w:style>
  <w:style w:type="paragraph" w:styleId="ListBullet3">
    <w:name w:val="List Bullet 3"/>
    <w:basedOn w:val="Normal"/>
    <w:semiHidden/>
    <w:pPr>
      <w:numPr>
        <w:numId w:val="5"/>
      </w:numPr>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ListNumber3">
    <w:name w:val="List Number 3"/>
    <w:basedOn w:val="Normal"/>
    <w:semiHidden/>
    <w:pPr>
      <w:numPr>
        <w:numId w:val="6"/>
      </w:numPr>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BlockText">
    <w:name w:val="Block Text"/>
    <w:basedOn w:val="Normal"/>
    <w:semiHidden/>
    <w:pPr>
      <w:spacing w:after="120"/>
      <w:ind w:left="1440" w:right="1440"/>
    </w:pPr>
  </w:style>
  <w:style w:type="paragraph" w:styleId="ListBullet2">
    <w:name w:val="List Bullet 2"/>
    <w:basedOn w:val="Normal"/>
    <w:semiHidden/>
    <w:pPr>
      <w:numPr>
        <w:numId w:val="7"/>
      </w:numPr>
    </w:pPr>
  </w:style>
  <w:style w:type="paragraph" w:styleId="HTMLAddress">
    <w:name w:val="HTML Address"/>
    <w:basedOn w:val="Normal"/>
    <w:semiHidden/>
    <w:rPr>
      <w:i/>
      <w:iCs/>
    </w:rPr>
  </w:style>
  <w:style w:type="paragraph" w:styleId="TOC3">
    <w:name w:val="toc 3"/>
    <w:basedOn w:val="Normal"/>
    <w:next w:val="Normal"/>
    <w:semiHidden/>
    <w:pPr>
      <w:ind w:left="560"/>
    </w:pPr>
  </w:style>
  <w:style w:type="paragraph" w:styleId="PlainText">
    <w:name w:val="Plain Text"/>
    <w:basedOn w:val="Normal"/>
    <w:semiHidden/>
    <w:rPr>
      <w:rFonts w:ascii="Courier New" w:hAnsi="Courier New" w:cs="Courier New"/>
      <w:sz w:val="20"/>
    </w:rPr>
  </w:style>
  <w:style w:type="paragraph" w:styleId="ListBullet5">
    <w:name w:val="List Bullet 5"/>
    <w:basedOn w:val="Normal"/>
    <w:semiHidden/>
    <w:pPr>
      <w:numPr>
        <w:numId w:val="8"/>
      </w:numPr>
    </w:pPr>
  </w:style>
  <w:style w:type="paragraph" w:styleId="ListNumber4">
    <w:name w:val="List Number 4"/>
    <w:basedOn w:val="Normal"/>
    <w:semiHidden/>
    <w:pPr>
      <w:numPr>
        <w:numId w:val="9"/>
      </w:numPr>
    </w:pPr>
  </w:style>
  <w:style w:type="paragraph" w:styleId="Date">
    <w:name w:val="Date"/>
    <w:basedOn w:val="Normal"/>
    <w:next w:val="Normal"/>
    <w:semiHidden/>
  </w:style>
  <w:style w:type="paragraph" w:styleId="BodyTextIndent2">
    <w:name w:val="Body Text Indent 2"/>
    <w:basedOn w:val="Normal"/>
    <w:semiHidden/>
    <w:pPr>
      <w:spacing w:after="120" w:line="480" w:lineRule="auto"/>
      <w:ind w:left="283"/>
    </w:pPr>
  </w:style>
  <w:style w:type="paragraph" w:styleId="ListContinue5">
    <w:name w:val="List Continue 5"/>
    <w:basedOn w:val="Normal"/>
    <w:semiHidden/>
    <w:pPr>
      <w:spacing w:after="120"/>
      <w:ind w:left="1415"/>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styleId="EnvelopeReturn">
    <w:name w:val="envelope return"/>
    <w:basedOn w:val="Normal"/>
    <w:semiHidden/>
    <w:rPr>
      <w:sz w:val="20"/>
    </w:rPr>
  </w:style>
  <w:style w:type="paragraph" w:styleId="Signature">
    <w:name w:val="Signature"/>
    <w:basedOn w:val="Normal"/>
    <w:semiHidden/>
    <w:pPr>
      <w:ind w:left="4252"/>
    </w:pPr>
  </w:style>
  <w:style w:type="paragraph" w:styleId="TOC1">
    <w:name w:val="toc 1"/>
    <w:basedOn w:val="Normal"/>
    <w:next w:val="Normal"/>
    <w:semiHidden/>
  </w:style>
  <w:style w:type="paragraph" w:styleId="ListContinue4">
    <w:name w:val="List Continue 4"/>
    <w:basedOn w:val="Normal"/>
    <w:semiHidden/>
    <w:pPr>
      <w:spacing w:after="120"/>
      <w:ind w:left="1132"/>
    </w:pPr>
  </w:style>
  <w:style w:type="paragraph" w:styleId="Subtitle">
    <w:name w:val="Subtitle"/>
    <w:basedOn w:val="Normal"/>
    <w:link w:val="SubtitleChar"/>
    <w:uiPriority w:val="11"/>
    <w:qFormat/>
    <w:pPr>
      <w:spacing w:after="60"/>
      <w:jc w:val="center"/>
      <w:outlineLvl w:val="1"/>
    </w:pPr>
    <w:rPr>
      <w:b/>
      <w:sz w:val="40"/>
      <w:szCs w:val="24"/>
    </w:rPr>
  </w:style>
  <w:style w:type="paragraph" w:styleId="ListNumber5">
    <w:name w:val="List Number 5"/>
    <w:basedOn w:val="Normal"/>
    <w:semiHidden/>
    <w:pPr>
      <w:numPr>
        <w:numId w:val="10"/>
      </w:numPr>
    </w:pPr>
  </w:style>
  <w:style w:type="paragraph" w:styleId="List">
    <w:name w:val="List"/>
    <w:basedOn w:val="Normal"/>
    <w:semiHidden/>
    <w:pPr>
      <w:ind w:left="283" w:hanging="283"/>
    </w:pPr>
  </w:style>
  <w:style w:type="paragraph" w:styleId="List5">
    <w:name w:val="List 5"/>
    <w:basedOn w:val="Normal"/>
    <w:semiHidden/>
    <w:pPr>
      <w:ind w:left="1415" w:hanging="283"/>
    </w:pPr>
  </w:style>
  <w:style w:type="paragraph" w:styleId="BodyTextIndent3">
    <w:name w:val="Body Text Indent 3"/>
    <w:basedOn w:val="Normal"/>
    <w:semiHidden/>
    <w:pPr>
      <w:spacing w:after="120"/>
      <w:ind w:left="283"/>
    </w:pPr>
    <w:rPr>
      <w:sz w:val="16"/>
      <w:szCs w:val="16"/>
    </w:rPr>
  </w:style>
  <w:style w:type="paragraph" w:styleId="TableofFigures">
    <w:name w:val="table of figures"/>
    <w:basedOn w:val="Normal"/>
    <w:next w:val="Normal"/>
    <w:semiHidden/>
    <w:qFormat/>
  </w:style>
  <w:style w:type="paragraph" w:styleId="TOC2">
    <w:name w:val="toc 2"/>
    <w:basedOn w:val="Normal"/>
    <w:next w:val="Normal"/>
    <w:semiHidden/>
    <w:pPr>
      <w:ind w:left="280"/>
    </w:pPr>
  </w:style>
  <w:style w:type="paragraph" w:styleId="BodyText2">
    <w:name w:val="Body Text 2"/>
    <w:basedOn w:val="Normal"/>
    <w:semiHidden/>
    <w:pPr>
      <w:spacing w:after="120" w:line="480" w:lineRule="auto"/>
    </w:pPr>
  </w:style>
  <w:style w:type="paragraph" w:styleId="List4">
    <w:name w:val="List 4"/>
    <w:basedOn w:val="Normal"/>
    <w:semiHidden/>
    <w:pPr>
      <w:ind w:left="1132" w:hanging="283"/>
    </w:pPr>
  </w:style>
  <w:style w:type="paragraph" w:styleId="ListContinue2">
    <w:name w:val="List Continue 2"/>
    <w:basedOn w:val="Normal"/>
    <w:semiHidden/>
    <w:pPr>
      <w:spacing w:after="120"/>
      <w:ind w:left="566"/>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styleId="ListContinue3">
    <w:name w:val="List Continue 3"/>
    <w:basedOn w:val="Normal"/>
    <w:semiHidden/>
    <w:pPr>
      <w:spacing w:after="120"/>
      <w:ind w:left="849"/>
    </w:pPr>
  </w:style>
  <w:style w:type="paragraph" w:styleId="Title">
    <w:name w:val="Title"/>
    <w:basedOn w:val="Normal"/>
    <w:link w:val="TitleChar"/>
    <w:uiPriority w:val="10"/>
    <w:qFormat/>
    <w:pPr>
      <w:spacing w:before="240" w:after="60"/>
      <w:jc w:val="center"/>
      <w:outlineLvl w:val="0"/>
    </w:pPr>
    <w:rPr>
      <w:b/>
      <w:bCs/>
      <w:kern w:val="28"/>
      <w:sz w:val="44"/>
      <w:szCs w:val="32"/>
    </w:rPr>
  </w:style>
  <w:style w:type="paragraph" w:styleId="CommentSubject">
    <w:name w:val="annotation subject"/>
    <w:basedOn w:val="CommentText"/>
    <w:next w:val="CommentText"/>
    <w:semiHidden/>
    <w:rPr>
      <w:b/>
      <w:bCs/>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Strong">
    <w:name w:val="Strong"/>
    <w:basedOn w:val="DefaultParagraphFont"/>
    <w:qFormat/>
    <w:rPr>
      <w:b/>
      <w:bCs/>
    </w:rPr>
  </w:style>
  <w:style w:type="character" w:styleId="PageNumber">
    <w:name w:val="page number"/>
    <w:basedOn w:val="DefaultParagraphFont"/>
    <w:semiHidden/>
  </w:style>
  <w:style w:type="character" w:styleId="Emphasis">
    <w:name w:val="Emphasis"/>
    <w:basedOn w:val="DefaultParagraphFont"/>
    <w:qFormat/>
    <w:rPr>
      <w:i/>
      <w:iCs/>
    </w:rPr>
  </w:style>
  <w:style w:type="character" w:styleId="LineNumber">
    <w:name w:val="line number"/>
    <w:basedOn w:val="DefaultParagraphFont"/>
    <w:semiHidden/>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Acronym">
    <w:name w:val="HTML Acronym"/>
    <w:basedOn w:val="DefaultParagraphFont"/>
    <w:semiHidden/>
  </w:style>
  <w:style w:type="character" w:styleId="HTMLVariable">
    <w:name w:val="HTML Variable"/>
    <w:basedOn w:val="DefaultParagraphFont"/>
    <w:semiHidden/>
    <w:rPr>
      <w:i/>
      <w:iCs/>
    </w:rPr>
  </w:style>
  <w:style w:type="character" w:styleId="Hyperlink">
    <w:name w:val="Hyperlink"/>
    <w:qFormat/>
    <w:rPr>
      <w:rFonts w:ascii="Arial" w:hAnsi="Arial"/>
      <w:color w:val="0000FF"/>
      <w:u w:val="none"/>
    </w:rPr>
  </w:style>
  <w:style w:type="character" w:styleId="HTMLCode">
    <w:name w:val="HTML Code"/>
    <w:basedOn w:val="DefaultParagraphFont"/>
    <w:semiHidden/>
    <w:rPr>
      <w:rFonts w:ascii="Courier New" w:hAnsi="Courier New" w:cs="Courier New"/>
      <w:sz w:val="20"/>
      <w:szCs w:val="20"/>
    </w:rPr>
  </w:style>
  <w:style w:type="character" w:styleId="CommentReference">
    <w:name w:val="annotation reference"/>
    <w:basedOn w:val="DefaultParagraphFont"/>
    <w:semiHidden/>
    <w:rPr>
      <w:sz w:val="16"/>
      <w:szCs w:val="16"/>
    </w:rPr>
  </w:style>
  <w:style w:type="character" w:styleId="HTMLCite">
    <w:name w:val="HTML Cite"/>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paragraph" w:styleId="Quote">
    <w:name w:val="Quote"/>
    <w:basedOn w:val="Normal"/>
    <w:qFormat/>
    <w:pPr>
      <w:ind w:left="794" w:right="794"/>
    </w:pPr>
  </w:style>
  <w:style w:type="character" w:customStyle="1" w:styleId="Heading3Char">
    <w:name w:val="Heading 3 Char"/>
    <w:link w:val="Heading3"/>
    <w:rPr>
      <w:rFonts w:ascii="Arial" w:hAnsi="Arial"/>
      <w:b/>
      <w:sz w:val="32"/>
      <w:lang w:val="en-GB" w:eastAsia="en-GB" w:bidi="ar-SA"/>
    </w:rPr>
  </w:style>
  <w:style w:type="character" w:customStyle="1" w:styleId="TitleChar">
    <w:name w:val="Title Char"/>
    <w:basedOn w:val="DefaultParagraphFont"/>
    <w:link w:val="Title"/>
    <w:uiPriority w:val="10"/>
    <w:rPr>
      <w:rFonts w:ascii="Arial" w:hAnsi="Arial"/>
      <w:b/>
      <w:bCs/>
      <w:kern w:val="28"/>
      <w:sz w:val="44"/>
      <w:szCs w:val="32"/>
    </w:rPr>
  </w:style>
  <w:style w:type="character" w:customStyle="1" w:styleId="SubtitleChar">
    <w:name w:val="Subtitle Char"/>
    <w:basedOn w:val="DefaultParagraphFont"/>
    <w:link w:val="Subtitle"/>
    <w:uiPriority w:val="11"/>
    <w:rPr>
      <w:rFonts w:ascii="Arial" w:hAnsi="Arial"/>
      <w:b/>
      <w:sz w:val="40"/>
      <w:szCs w:val="24"/>
    </w:rPr>
  </w:style>
  <w:style w:type="character" w:customStyle="1" w:styleId="Heading2Char">
    <w:name w:val="Heading 2 Char"/>
    <w:basedOn w:val="DefaultParagraphFont"/>
    <w:link w:val="Heading2"/>
    <w:uiPriority w:val="9"/>
    <w:rPr>
      <w:rFonts w:ascii="Arial" w:hAnsi="Arial"/>
      <w:b/>
      <w:sz w:val="36"/>
    </w:rPr>
  </w:style>
  <w:style w:type="paragraph" w:customStyle="1" w:styleId="listbulleter">
    <w:name w:val="list bulleter"/>
    <w:basedOn w:val="ListNumber"/>
    <w:pPr>
      <w:tabs>
        <w:tab w:val="clear" w:pos="851"/>
      </w:tabs>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550C9-94A4-4A7F-BCA9-2C056038C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5D5C8A-886A-465F-8774-902D79EA65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D902A-FC32-4158-8360-4F0A72BD5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1311</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2018-01-16T15:03:00Z</cp:lastPrinted>
  <dcterms:created xsi:type="dcterms:W3CDTF">2020-10-06T07:38:00Z</dcterms:created>
  <dcterms:modified xsi:type="dcterms:W3CDTF">2020-10-06T07:38:00Z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ContentTypeId">
    <vt:lpwstr>0x010100B7803352C098BF4190591046E2C0A833</vt:lpwstr>
  </property>
</Properties>
</file>