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46574D" w:rsidP="007A063F">
      <w:r w:rsidRPr="004E42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
            <v:imagedata r:id="rId7" o:title="RNIB See differently logo"/>
          </v:shape>
        </w:pict>
      </w:r>
    </w:p>
    <w:p w:rsidR="0046574D" w:rsidRDefault="0046574D" w:rsidP="0046574D">
      <w:pPr>
        <w:pStyle w:val="Heading1"/>
      </w:pPr>
    </w:p>
    <w:p w:rsidR="007A063F" w:rsidRDefault="0026060D" w:rsidP="0046574D">
      <w:pPr>
        <w:pStyle w:val="Heading1"/>
      </w:pPr>
      <w:r>
        <w:t>Band-it</w:t>
      </w:r>
      <w:r w:rsidR="0046574D">
        <w:t xml:space="preserve"> (</w:t>
      </w:r>
      <w:r w:rsidR="00C13CE5">
        <w:t>DL120</w:t>
      </w:r>
      <w:r w:rsidR="0046574D">
        <w:t>)</w:t>
      </w:r>
    </w:p>
    <w:p w:rsidR="0046574D" w:rsidRDefault="0046574D" w:rsidP="0046574D">
      <w:pPr>
        <w:autoSpaceDE w:val="0"/>
        <w:autoSpaceDN w:val="0"/>
        <w:adjustRightInd w:val="0"/>
        <w:rPr>
          <w:rFonts w:cs="Arial"/>
          <w:szCs w:val="28"/>
        </w:rPr>
      </w:pPr>
      <w:bookmarkStart w:id="0" w:name="_Toc293495616"/>
      <w:r>
        <w:rPr>
          <w:rFonts w:cs="Arial"/>
          <w:szCs w:val="28"/>
        </w:rPr>
        <w:t xml:space="preserve">Thank you for purchasing from RNIB. For hygiene reasons this product is non-returnable unless faulty, or it can be returned within 14 days if unsuitable, in an unopened and as new condition. If, unfortunately the item is </w:t>
      </w:r>
      <w:proofErr w:type="gramStart"/>
      <w:r>
        <w:rPr>
          <w:rFonts w:cs="Arial"/>
          <w:szCs w:val="28"/>
        </w:rPr>
        <w:t>unsuitable</w:t>
      </w:r>
      <w:proofErr w:type="gramEnd"/>
      <w:r>
        <w:rPr>
          <w:rFonts w:cs="Arial"/>
          <w:szCs w:val="28"/>
        </w:rPr>
        <w:t xml:space="preserv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46574D" w:rsidRDefault="0046574D"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FF5995" w:rsidRDefault="00FF5995" w:rsidP="0046574D">
      <w:pPr>
        <w:pStyle w:val="Heading2"/>
      </w:pPr>
      <w:bookmarkStart w:id="1" w:name="_Toc378689203"/>
      <w:r>
        <w:t>Special warning</w:t>
      </w:r>
      <w:bookmarkEnd w:id="1"/>
    </w:p>
    <w:p w:rsidR="00C13CE5" w:rsidRPr="00B91975" w:rsidRDefault="00C13CE5" w:rsidP="00C13CE5">
      <w:r>
        <w:rPr>
          <w:b/>
        </w:rPr>
        <w:t xml:space="preserve">Important: </w:t>
      </w:r>
      <w:r>
        <w:t>This product can only be returned if unopened, with the hygiene seal in-tact. Otherwise, this product can only be returned if a manufacturing fault is found, due to hygiene reasons.</w:t>
      </w:r>
    </w:p>
    <w:p w:rsidR="00B91975" w:rsidRDefault="00B91975" w:rsidP="00FF5995">
      <w:pPr>
        <w:rPr>
          <w:b/>
        </w:rPr>
      </w:pPr>
    </w:p>
    <w:p w:rsidR="00FF5995" w:rsidRDefault="0026060D" w:rsidP="00FF5995">
      <w:r>
        <w:rPr>
          <w:b/>
        </w:rPr>
        <w:t xml:space="preserve">Please note: </w:t>
      </w:r>
      <w:r>
        <w:t>Do not repeatedly over stretch. May present choking hazard.</w:t>
      </w:r>
    </w:p>
    <w:p w:rsidR="00804BC7" w:rsidRDefault="00804BC7" w:rsidP="00FF5995"/>
    <w:p w:rsidR="0026060D" w:rsidRPr="0026060D" w:rsidRDefault="0026060D" w:rsidP="00FF5995">
      <w:r>
        <w:t>Damage caused by misuse will not be covered by warranty.</w:t>
      </w:r>
    </w:p>
    <w:p w:rsidR="00FF5995" w:rsidRDefault="00FF5995" w:rsidP="00763E57"/>
    <w:p w:rsidR="00A26150" w:rsidRDefault="00A26150" w:rsidP="0046574D">
      <w:pPr>
        <w:pStyle w:val="Heading2"/>
      </w:pPr>
      <w:bookmarkStart w:id="2" w:name="_Toc243448109"/>
      <w:bookmarkStart w:id="3" w:name="_Toc378689204"/>
      <w:bookmarkEnd w:id="0"/>
      <w:r>
        <w:t>General description</w:t>
      </w:r>
      <w:bookmarkEnd w:id="2"/>
      <w:bookmarkEnd w:id="3"/>
    </w:p>
    <w:p w:rsidR="00607243" w:rsidRDefault="00607243" w:rsidP="00A26150">
      <w:r>
        <w:t xml:space="preserve">Band-it bands </w:t>
      </w:r>
      <w:r w:rsidR="00263652">
        <w:t>are</w:t>
      </w:r>
      <w:r>
        <w:t xml:space="preserve"> a l</w:t>
      </w:r>
      <w:r w:rsidRPr="00607243">
        <w:t>o</w:t>
      </w:r>
      <w:r>
        <w:t xml:space="preserve">w tech, reusable, </w:t>
      </w:r>
      <w:r w:rsidRPr="00607243">
        <w:t xml:space="preserve">flexible </w:t>
      </w:r>
      <w:r>
        <w:t xml:space="preserve">and </w:t>
      </w:r>
      <w:r w:rsidRPr="00607243">
        <w:t>tactile colour labelling system</w:t>
      </w:r>
      <w:r>
        <w:t>,</w:t>
      </w:r>
      <w:r w:rsidRPr="00607243">
        <w:t xml:space="preserve"> best suited </w:t>
      </w:r>
      <w:r>
        <w:t xml:space="preserve">for </w:t>
      </w:r>
      <w:r w:rsidRPr="00607243">
        <w:t>identifying temporary objects such as shampoo and conditioner</w:t>
      </w:r>
      <w:r>
        <w:t xml:space="preserve"> bottles or </w:t>
      </w:r>
      <w:r w:rsidR="00263652">
        <w:t>food items</w:t>
      </w:r>
      <w:r>
        <w:t xml:space="preserve"> etc</w:t>
      </w:r>
      <w:r w:rsidRPr="00607243">
        <w:t>.</w:t>
      </w:r>
      <w:r w:rsidR="006F73E9">
        <w:t xml:space="preserve"> This pack includes 10 bands, with </w:t>
      </w:r>
      <w:r w:rsidR="0046574D">
        <w:t>five</w:t>
      </w:r>
      <w:r w:rsidR="006F73E9">
        <w:t xml:space="preserve"> different </w:t>
      </w:r>
      <w:r w:rsidR="00F97771">
        <w:t>colours and shapes.</w:t>
      </w:r>
    </w:p>
    <w:p w:rsidR="00F97771" w:rsidRDefault="00F97771" w:rsidP="00A26150"/>
    <w:p w:rsidR="007717A5" w:rsidRDefault="007717A5" w:rsidP="0046574D">
      <w:pPr>
        <w:pStyle w:val="Heading2"/>
      </w:pPr>
      <w:r>
        <w:t>Content</w:t>
      </w:r>
    </w:p>
    <w:p w:rsidR="005836CD" w:rsidRDefault="005836CD" w:rsidP="005836CD">
      <w:r w:rsidRPr="005836CD">
        <w:t xml:space="preserve">This pack includes 10 Band-its, </w:t>
      </w:r>
      <w:r w:rsidR="0046574D">
        <w:t>two</w:t>
      </w:r>
      <w:r>
        <w:t> of each colour and shape</w:t>
      </w:r>
      <w:r w:rsidR="0046574D">
        <w:t>:</w:t>
      </w:r>
    </w:p>
    <w:p w:rsidR="0046574D" w:rsidRPr="005836CD" w:rsidRDefault="0046574D" w:rsidP="005836CD"/>
    <w:p w:rsidR="005836CD" w:rsidRPr="005836CD" w:rsidRDefault="0046574D" w:rsidP="0046574D">
      <w:pPr>
        <w:pStyle w:val="ListBullet"/>
      </w:pPr>
      <w:r>
        <w:t xml:space="preserve">two </w:t>
      </w:r>
      <w:r w:rsidR="005836CD" w:rsidRPr="005836CD">
        <w:t xml:space="preserve">x yellow </w:t>
      </w:r>
      <w:r w:rsidR="005836CD">
        <w:t xml:space="preserve">tactile </w:t>
      </w:r>
      <w:r w:rsidR="005836CD" w:rsidRPr="005836CD">
        <w:t>cylinder bands</w:t>
      </w:r>
    </w:p>
    <w:p w:rsidR="005836CD" w:rsidRPr="005836CD" w:rsidRDefault="0046574D" w:rsidP="0046574D">
      <w:pPr>
        <w:pStyle w:val="ListBullet"/>
      </w:pPr>
      <w:r>
        <w:t xml:space="preserve">two </w:t>
      </w:r>
      <w:r w:rsidR="005836CD" w:rsidRPr="005836CD">
        <w:t xml:space="preserve">x green </w:t>
      </w:r>
      <w:r w:rsidR="005836CD">
        <w:t>tactile triangle</w:t>
      </w:r>
      <w:r w:rsidR="005836CD" w:rsidRPr="005836CD">
        <w:t xml:space="preserve"> bands</w:t>
      </w:r>
    </w:p>
    <w:p w:rsidR="005836CD" w:rsidRPr="005836CD" w:rsidRDefault="0046574D" w:rsidP="0046574D">
      <w:pPr>
        <w:pStyle w:val="ListBullet"/>
      </w:pPr>
      <w:r>
        <w:lastRenderedPageBreak/>
        <w:t xml:space="preserve">two </w:t>
      </w:r>
      <w:r w:rsidR="005836CD" w:rsidRPr="005836CD">
        <w:t xml:space="preserve">x dark pink </w:t>
      </w:r>
      <w:r w:rsidR="005836CD">
        <w:t xml:space="preserve">tactile </w:t>
      </w:r>
      <w:r w:rsidR="005836CD" w:rsidRPr="005836CD">
        <w:t>line bands</w:t>
      </w:r>
    </w:p>
    <w:p w:rsidR="005836CD" w:rsidRPr="005836CD" w:rsidRDefault="0046574D" w:rsidP="0046574D">
      <w:pPr>
        <w:pStyle w:val="ListBullet"/>
      </w:pPr>
      <w:r>
        <w:t xml:space="preserve">two </w:t>
      </w:r>
      <w:r w:rsidR="005836CD" w:rsidRPr="005836CD">
        <w:t xml:space="preserve">x blue </w:t>
      </w:r>
      <w:r w:rsidR="005836CD">
        <w:t xml:space="preserve">tactile </w:t>
      </w:r>
      <w:r w:rsidR="005836CD" w:rsidRPr="005836CD">
        <w:t>square bands</w:t>
      </w:r>
    </w:p>
    <w:p w:rsidR="007717A5" w:rsidRDefault="0046574D" w:rsidP="0046574D">
      <w:pPr>
        <w:pStyle w:val="ListBullet"/>
      </w:pPr>
      <w:r>
        <w:t xml:space="preserve">two </w:t>
      </w:r>
      <w:r w:rsidR="005836CD" w:rsidRPr="005836CD">
        <w:t xml:space="preserve">x orange </w:t>
      </w:r>
      <w:r w:rsidR="005836CD">
        <w:t xml:space="preserve">tactile </w:t>
      </w:r>
      <w:r w:rsidR="005836CD" w:rsidRPr="005836CD">
        <w:t>spherical bands</w:t>
      </w:r>
      <w:r>
        <w:t>.</w:t>
      </w:r>
    </w:p>
    <w:p w:rsidR="005836CD" w:rsidRDefault="005836CD" w:rsidP="00A26150"/>
    <w:p w:rsidR="00A26150" w:rsidRDefault="00A26150" w:rsidP="0046574D">
      <w:pPr>
        <w:pStyle w:val="Heading2"/>
      </w:pPr>
      <w:bookmarkStart w:id="4" w:name="_Toc293495628"/>
      <w:bookmarkStart w:id="5" w:name="_Toc378689215"/>
      <w:r>
        <w:t>Using the product</w:t>
      </w:r>
      <w:bookmarkEnd w:id="4"/>
      <w:bookmarkEnd w:id="5"/>
    </w:p>
    <w:p w:rsidR="00607243" w:rsidRPr="006F73E9" w:rsidRDefault="006F73E9" w:rsidP="006F73E9">
      <w:r>
        <w:t>Put the band around the item you wish to be able to distinguish, for example household items.</w:t>
      </w:r>
      <w:r w:rsidR="00607243" w:rsidRPr="006F73E9">
        <w:t xml:space="preserve"> </w:t>
      </w:r>
      <w:r>
        <w:t>It is recommended to d</w:t>
      </w:r>
      <w:r w:rsidR="00607243" w:rsidRPr="006F73E9">
        <w:t xml:space="preserve">o this one room or cupboard at a time to familiarise yourself with which colours/shapes go with which object. </w:t>
      </w:r>
    </w:p>
    <w:p w:rsidR="00607243" w:rsidRDefault="00607243" w:rsidP="006F73E9"/>
    <w:p w:rsidR="00D25ECC" w:rsidRDefault="00D25ECC" w:rsidP="00D25ECC">
      <w:pPr>
        <w:rPr>
          <w:rFonts w:ascii="Work Sans Thin" w:hAnsi="Work Sans Thin" w:cs="Work Sans Thin"/>
        </w:rPr>
      </w:pPr>
      <w:r w:rsidRPr="00CA2D39">
        <w:rPr>
          <w:rFonts w:ascii="Work Sans Thin" w:hAnsi="Work Sans Thin" w:cs="Work Sans Thin"/>
          <w:b/>
        </w:rPr>
        <w:t>Do not overstretch</w:t>
      </w:r>
      <w:r>
        <w:rPr>
          <w:rFonts w:ascii="Work Sans Thin" w:hAnsi="Work Sans Thin" w:cs="Work Sans Thin"/>
        </w:rPr>
        <w:t>. It is recommended that you use around objects with a circumference of 153-210mm (diameter 50-83mm for round objects). You can use it around objects smaller than 153mm by wrapping around more than once.</w:t>
      </w:r>
    </w:p>
    <w:p w:rsidR="00D25ECC" w:rsidRPr="006F73E9" w:rsidRDefault="00D25ECC" w:rsidP="006F73E9"/>
    <w:p w:rsidR="00A705EE" w:rsidRDefault="00607243" w:rsidP="00A705EE">
      <w:r w:rsidRPr="006F73E9">
        <w:t>Clean as necessary, particularly if used around food items.</w:t>
      </w:r>
      <w:r w:rsidR="00A705EE">
        <w:t xml:space="preserve"> </w:t>
      </w:r>
      <w:r w:rsidR="00A705EE" w:rsidRPr="00D25ECC">
        <w:t xml:space="preserve">Clean by washing in hot soapy water or in the dishwasher. </w:t>
      </w:r>
    </w:p>
    <w:p w:rsidR="00D25ECC" w:rsidRDefault="00D25ECC" w:rsidP="00A26150"/>
    <w:p w:rsidR="00D25ECC" w:rsidRDefault="00D25ECC" w:rsidP="0046574D">
      <w:pPr>
        <w:pStyle w:val="Heading2"/>
      </w:pPr>
      <w:bookmarkStart w:id="6" w:name="_Toc293495631"/>
      <w:bookmarkStart w:id="7" w:name="_Toc378689217"/>
      <w:r>
        <w:t>Hints and Tips</w:t>
      </w:r>
      <w:bookmarkEnd w:id="7"/>
      <w:r>
        <w:t xml:space="preserve"> </w:t>
      </w:r>
      <w:bookmarkEnd w:id="6"/>
    </w:p>
    <w:p w:rsidR="0043059B" w:rsidRDefault="0043059B" w:rsidP="0043059B">
      <w:pPr>
        <w:numPr>
          <w:ilvl w:val="0"/>
          <w:numId w:val="30"/>
        </w:numPr>
      </w:pPr>
      <w:r>
        <w:t>R</w:t>
      </w:r>
      <w:r w:rsidR="00607243" w:rsidRPr="006F73E9">
        <w:t>e</w:t>
      </w:r>
      <w:r>
        <w:t>-</w:t>
      </w:r>
      <w:r w:rsidR="00607243" w:rsidRPr="006F73E9">
        <w:t>us</w:t>
      </w:r>
      <w:r>
        <w:t>e</w:t>
      </w:r>
      <w:r w:rsidR="00607243" w:rsidRPr="006F73E9">
        <w:t xml:space="preserve"> the five different coloured bands in different locations around the house. </w:t>
      </w:r>
      <w:r>
        <w:t xml:space="preserve">Marker </w:t>
      </w:r>
      <w:r w:rsidR="00607243" w:rsidRPr="006F73E9">
        <w:t>up to five different objects in the same immediate location</w:t>
      </w:r>
      <w:r>
        <w:t xml:space="preserve"> e.g. </w:t>
      </w:r>
      <w:r w:rsidR="00607243" w:rsidRPr="006F73E9">
        <w:t xml:space="preserve">a jam jar with the red band in the fridge, and </w:t>
      </w:r>
      <w:r>
        <w:t xml:space="preserve">then </w:t>
      </w:r>
      <w:r w:rsidR="00607243" w:rsidRPr="006F73E9">
        <w:t xml:space="preserve">also a red band on </w:t>
      </w:r>
      <w:r w:rsidR="00482791">
        <w:t>a</w:t>
      </w:r>
      <w:r w:rsidR="00607243" w:rsidRPr="006F73E9">
        <w:t xml:space="preserve"> tin of tomatoes in the cupboard. </w:t>
      </w:r>
    </w:p>
    <w:p w:rsidR="00607243" w:rsidRDefault="00482791" w:rsidP="0043059B">
      <w:pPr>
        <w:numPr>
          <w:ilvl w:val="0"/>
          <w:numId w:val="30"/>
        </w:numPr>
      </w:pPr>
      <w:r>
        <w:t xml:space="preserve">Recommendation: Try to have </w:t>
      </w:r>
      <w:r w:rsidR="00607243" w:rsidRPr="006F73E9">
        <w:t xml:space="preserve">at least </w:t>
      </w:r>
      <w:r w:rsidR="0046574D">
        <w:t>two</w:t>
      </w:r>
      <w:r w:rsidR="00607243" w:rsidRPr="006F73E9">
        <w:t xml:space="preserve"> bands per temporary object (</w:t>
      </w:r>
      <w:proofErr w:type="spellStart"/>
      <w:r w:rsidR="00607243" w:rsidRPr="006F73E9">
        <w:t>e</w:t>
      </w:r>
      <w:r w:rsidR="00F90167">
        <w:t>.</w:t>
      </w:r>
      <w:r w:rsidR="00607243" w:rsidRPr="006F73E9">
        <w:t>g</w:t>
      </w:r>
      <w:proofErr w:type="spellEnd"/>
      <w:r>
        <w:t xml:space="preserve"> food item</w:t>
      </w:r>
      <w:r w:rsidR="00607243" w:rsidRPr="006F73E9">
        <w:t xml:space="preserve">) so that you can marker the replacement before the current object runs out. </w:t>
      </w:r>
    </w:p>
    <w:p w:rsidR="00607243" w:rsidRPr="006F73E9" w:rsidRDefault="00607243" w:rsidP="00A705EE">
      <w:pPr>
        <w:numPr>
          <w:ilvl w:val="0"/>
          <w:numId w:val="29"/>
        </w:numPr>
      </w:pPr>
      <w:r w:rsidRPr="006F73E9">
        <w:t xml:space="preserve">Cleaning products: </w:t>
      </w:r>
      <w:r w:rsidR="00482791">
        <w:t>U</w:t>
      </w:r>
      <w:r w:rsidRPr="006F73E9">
        <w:t>se the tactile line on the centre of the Band-it to indicate the front of a spray can</w:t>
      </w:r>
      <w:r w:rsidR="00482791">
        <w:t>,</w:t>
      </w:r>
      <w:r w:rsidRPr="006F73E9">
        <w:t xml:space="preserve"> to easily spray in the right direction.</w:t>
      </w:r>
    </w:p>
    <w:p w:rsidR="00607243" w:rsidRPr="006F73E9" w:rsidRDefault="00607243" w:rsidP="00A705EE">
      <w:pPr>
        <w:numPr>
          <w:ilvl w:val="0"/>
          <w:numId w:val="29"/>
        </w:numPr>
      </w:pPr>
      <w:r w:rsidRPr="006F73E9">
        <w:t xml:space="preserve">Medicine boxes: </w:t>
      </w:r>
      <w:r w:rsidR="00482791">
        <w:t>W</w:t>
      </w:r>
      <w:r w:rsidRPr="006F73E9">
        <w:t>rap the band around a product twice if it is too small for the Band-it to fit around.</w:t>
      </w:r>
    </w:p>
    <w:p w:rsidR="00607243" w:rsidRPr="006F73E9" w:rsidRDefault="00607243" w:rsidP="00A705EE">
      <w:pPr>
        <w:numPr>
          <w:ilvl w:val="0"/>
          <w:numId w:val="29"/>
        </w:numPr>
      </w:pPr>
      <w:r w:rsidRPr="006F73E9">
        <w:t xml:space="preserve">Make up and toiletries: Use on creams, sprays or any other makeup items. </w:t>
      </w:r>
    </w:p>
    <w:p w:rsidR="00607243" w:rsidRPr="006F73E9" w:rsidRDefault="00607243" w:rsidP="00A705EE">
      <w:pPr>
        <w:numPr>
          <w:ilvl w:val="0"/>
          <w:numId w:val="29"/>
        </w:numPr>
      </w:pPr>
      <w:r w:rsidRPr="006F73E9">
        <w:t>Remote controls</w:t>
      </w:r>
      <w:r w:rsidR="0046574D">
        <w:t>.</w:t>
      </w:r>
    </w:p>
    <w:p w:rsidR="00607243" w:rsidRPr="006F73E9" w:rsidRDefault="00607243" w:rsidP="00A705EE">
      <w:pPr>
        <w:numPr>
          <w:ilvl w:val="0"/>
          <w:numId w:val="29"/>
        </w:numPr>
      </w:pPr>
      <w:r w:rsidRPr="006F73E9">
        <w:t>Notebooks: Use to clearly mark your different notebooks, for example y</w:t>
      </w:r>
      <w:r w:rsidR="00482791">
        <w:t>our telephone and address books (be careful not to over-stretch.)</w:t>
      </w:r>
    </w:p>
    <w:p w:rsidR="00607243" w:rsidRDefault="00607243" w:rsidP="00A705EE">
      <w:pPr>
        <w:numPr>
          <w:ilvl w:val="0"/>
          <w:numId w:val="29"/>
        </w:numPr>
      </w:pPr>
      <w:r w:rsidRPr="006F73E9">
        <w:t>Colour per person: If you live in a shared house, you can each have a different colour band to identify which object is yours. For example, you can use them around cups or bathroom products.</w:t>
      </w:r>
    </w:p>
    <w:p w:rsidR="0043059B" w:rsidRPr="006F73E9" w:rsidRDefault="0043059B" w:rsidP="00A705EE">
      <w:pPr>
        <w:numPr>
          <w:ilvl w:val="0"/>
          <w:numId w:val="29"/>
        </w:numPr>
      </w:pPr>
      <w:r w:rsidRPr="00D25ECC">
        <w:t>Room markers</w:t>
      </w:r>
      <w:r>
        <w:t xml:space="preserve">: </w:t>
      </w:r>
      <w:r w:rsidR="00482791">
        <w:t>L</w:t>
      </w:r>
      <w:r w:rsidRPr="00D25ECC">
        <w:t xml:space="preserve">ink a </w:t>
      </w:r>
      <w:proofErr w:type="gramStart"/>
      <w:r w:rsidRPr="00D25ECC">
        <w:t>particular colour</w:t>
      </w:r>
      <w:proofErr w:type="gramEnd"/>
      <w:r w:rsidRPr="00D25ECC">
        <w:t xml:space="preserve"> with a certain room </w:t>
      </w:r>
      <w:r>
        <w:t>by attaching it to door handles; useful if you mix up rooms.</w:t>
      </w:r>
    </w:p>
    <w:p w:rsidR="00607243" w:rsidRDefault="00607243" w:rsidP="00607243"/>
    <w:p w:rsidR="00607243" w:rsidRDefault="00607243" w:rsidP="0046574D">
      <w:pPr>
        <w:pStyle w:val="Heading2"/>
      </w:pPr>
      <w:r>
        <w:lastRenderedPageBreak/>
        <w:t xml:space="preserve">Dual colour </w:t>
      </w:r>
      <w:r w:rsidR="0043059B">
        <w:t>usage</w:t>
      </w:r>
    </w:p>
    <w:p w:rsidR="00607243" w:rsidRDefault="0043059B" w:rsidP="00D25ECC">
      <w:r>
        <w:t>U</w:t>
      </w:r>
      <w:r w:rsidR="00607243" w:rsidRPr="00D25ECC">
        <w:t xml:space="preserve">se </w:t>
      </w:r>
      <w:r>
        <w:t xml:space="preserve">multiple </w:t>
      </w:r>
      <w:r w:rsidR="00607243" w:rsidRPr="00D25ECC">
        <w:t xml:space="preserve">bands </w:t>
      </w:r>
      <w:r>
        <w:t xml:space="preserve">together </w:t>
      </w:r>
      <w:r w:rsidR="00607243" w:rsidRPr="00D25ECC">
        <w:t>by stacking them</w:t>
      </w:r>
      <w:r>
        <w:t xml:space="preserve"> on top of each other</w:t>
      </w:r>
      <w:r w:rsidR="00607243" w:rsidRPr="00D25ECC">
        <w:t xml:space="preserve">. The top band identifies the type of product and the bottom the specific object. </w:t>
      </w:r>
      <w:r w:rsidR="00A705EE">
        <w:t>You could u</w:t>
      </w:r>
      <w:r w:rsidR="00607243" w:rsidRPr="00D25ECC">
        <w:t>se the top colours as follows:</w:t>
      </w:r>
    </w:p>
    <w:p w:rsidR="0046574D" w:rsidRPr="00D25ECC" w:rsidRDefault="0046574D" w:rsidP="00D25ECC"/>
    <w:p w:rsidR="00607243" w:rsidRPr="00D25ECC" w:rsidRDefault="0046574D" w:rsidP="0046574D">
      <w:pPr>
        <w:pStyle w:val="ListBullet"/>
      </w:pPr>
      <w:r>
        <w:t>y</w:t>
      </w:r>
      <w:r w:rsidR="00F90167">
        <w:t>ellow,</w:t>
      </w:r>
      <w:r w:rsidR="00607243" w:rsidRPr="00D25ECC">
        <w:t xml:space="preserve"> </w:t>
      </w:r>
      <w:r w:rsidR="00A705EE">
        <w:t>food item</w:t>
      </w:r>
    </w:p>
    <w:p w:rsidR="00607243" w:rsidRPr="00D25ECC" w:rsidRDefault="0046574D" w:rsidP="0046574D">
      <w:pPr>
        <w:pStyle w:val="ListBullet"/>
      </w:pPr>
      <w:r>
        <w:t>o</w:t>
      </w:r>
      <w:r w:rsidR="00F90167">
        <w:t>range,</w:t>
      </w:r>
      <w:r w:rsidR="00607243" w:rsidRPr="00D25ECC">
        <w:t xml:space="preserve"> hazardous objects or doors/cupboards that should not be accessed</w:t>
      </w:r>
    </w:p>
    <w:p w:rsidR="00F90167" w:rsidRDefault="0046574D" w:rsidP="0046574D">
      <w:pPr>
        <w:pStyle w:val="ListBullet"/>
      </w:pPr>
      <w:r>
        <w:t>b</w:t>
      </w:r>
      <w:r w:rsidR="00F90167">
        <w:t>lue,</w:t>
      </w:r>
      <w:r w:rsidR="00607243" w:rsidRPr="00D25ECC">
        <w:t xml:space="preserve"> medication</w:t>
      </w:r>
      <w:r>
        <w:t>.</w:t>
      </w:r>
    </w:p>
    <w:p w:rsidR="00607243" w:rsidRPr="00D25ECC" w:rsidRDefault="00607243" w:rsidP="00D25ECC"/>
    <w:p w:rsidR="00513A04" w:rsidRDefault="00513A04" w:rsidP="0046574D">
      <w:pPr>
        <w:pStyle w:val="Heading2"/>
      </w:pPr>
      <w:bookmarkStart w:id="8" w:name="_Toc378689218"/>
      <w:r>
        <w:t xml:space="preserve">How to contact </w:t>
      </w:r>
      <w:r w:rsidR="00905776">
        <w:t>RNIB</w:t>
      </w:r>
      <w:bookmarkEnd w:id="8"/>
    </w:p>
    <w:p w:rsidR="0046574D" w:rsidRDefault="0046574D" w:rsidP="0046574D">
      <w:pPr>
        <w:autoSpaceDE w:val="0"/>
        <w:autoSpaceDN w:val="0"/>
        <w:adjustRightInd w:val="0"/>
        <w:rPr>
          <w:rFonts w:cs="Arial"/>
          <w:szCs w:val="32"/>
        </w:rPr>
      </w:pPr>
      <w:r>
        <w:rPr>
          <w:rFonts w:cs="Arial"/>
          <w:szCs w:val="32"/>
        </w:rPr>
        <w:t>Phone: 0303 123 9999</w:t>
      </w:r>
    </w:p>
    <w:p w:rsidR="0046574D" w:rsidRDefault="0046574D" w:rsidP="0046574D">
      <w:pPr>
        <w:autoSpaceDE w:val="0"/>
        <w:autoSpaceDN w:val="0"/>
        <w:adjustRightInd w:val="0"/>
        <w:rPr>
          <w:rFonts w:cs="Arial"/>
          <w:szCs w:val="32"/>
        </w:rPr>
      </w:pPr>
      <w:r>
        <w:rPr>
          <w:rFonts w:cs="Arial"/>
          <w:szCs w:val="32"/>
        </w:rPr>
        <w:t>Email: shop@rnib.org.uk</w:t>
      </w:r>
    </w:p>
    <w:p w:rsidR="0046574D" w:rsidRDefault="0046574D" w:rsidP="0046574D">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46574D" w:rsidRDefault="0046574D" w:rsidP="0046574D">
      <w:pPr>
        <w:autoSpaceDE w:val="0"/>
        <w:autoSpaceDN w:val="0"/>
        <w:adjustRightInd w:val="0"/>
        <w:rPr>
          <w:rFonts w:cs="Arial"/>
          <w:szCs w:val="32"/>
        </w:rPr>
      </w:pPr>
      <w:r>
        <w:rPr>
          <w:rFonts w:cs="Arial"/>
          <w:szCs w:val="32"/>
        </w:rPr>
        <w:t>Online Shop: shop.rnib.org.uk</w:t>
      </w:r>
    </w:p>
    <w:p w:rsidR="0046574D" w:rsidRDefault="0046574D" w:rsidP="0046574D">
      <w:pPr>
        <w:autoSpaceDE w:val="0"/>
        <w:autoSpaceDN w:val="0"/>
        <w:adjustRightInd w:val="0"/>
        <w:rPr>
          <w:rFonts w:cs="Arial"/>
          <w:szCs w:val="32"/>
        </w:rPr>
      </w:pPr>
    </w:p>
    <w:p w:rsidR="0046574D" w:rsidRDefault="0046574D" w:rsidP="0046574D">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9" w:name="_Toc378689219"/>
      <w:r w:rsidRPr="00B40769">
        <w:t>Terms and conditions of sale</w:t>
      </w:r>
      <w:bookmarkEnd w:id="9"/>
    </w:p>
    <w:p w:rsidR="00513A04" w:rsidRDefault="00281AC2" w:rsidP="00513A04">
      <w:r>
        <w:t>This product is guaranteed from manufacturing faults for</w:t>
      </w:r>
      <w:r w:rsidR="00A705EE">
        <w:t xml:space="preserve">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804BC7" w:rsidRDefault="00804BC7" w:rsidP="00513A04"/>
    <w:p w:rsidR="00513A04" w:rsidRDefault="00513A04" w:rsidP="00513A04">
      <w:r>
        <w:t xml:space="preserve">Date: </w:t>
      </w:r>
      <w:r w:rsidR="0046574D">
        <w:t>September 2018</w:t>
      </w:r>
    </w:p>
    <w:p w:rsidR="00804BC7" w:rsidRDefault="00804BC7" w:rsidP="00513A04"/>
    <w:p w:rsidR="0046574D" w:rsidRDefault="00207D39" w:rsidP="00763E57">
      <w:r>
        <w:rPr>
          <w:rFonts w:cs="Arial"/>
        </w:rPr>
        <w:t>©</w:t>
      </w:r>
      <w:r>
        <w:t xml:space="preserve"> </w:t>
      </w:r>
      <w:r w:rsidR="00144307">
        <w:t>RNIB</w:t>
      </w:r>
      <w:bookmarkStart w:id="10" w:name="_GoBack"/>
      <w:bookmarkEnd w:id="10"/>
    </w:p>
    <w:sectPr w:rsidR="0046574D" w:rsidSect="00AB0FA4">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FC9" w:rsidRDefault="00CC0FC9">
      <w:r>
        <w:separator/>
      </w:r>
    </w:p>
  </w:endnote>
  <w:endnote w:type="continuationSeparator" w:id="0">
    <w:p w:rsidR="00CC0FC9" w:rsidRDefault="00CC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10002FF" w:usb1="4000ACFF" w:usb2="00000009" w:usb3="00000000" w:csb0="0000019F" w:csb1="00000000"/>
  </w:font>
  <w:font w:name="Work Sans Thin">
    <w:altName w:val="Arial"/>
    <w:panose1 w:val="00000000000000000000"/>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9E4">
      <w:rPr>
        <w:rStyle w:val="PageNumber"/>
        <w:noProof/>
      </w:rPr>
      <w:t>2</w:t>
    </w:r>
    <w:r>
      <w:rPr>
        <w:rStyle w:val="PageNumber"/>
      </w:rPr>
      <w:fldChar w:fldCharType="end"/>
    </w:r>
  </w:p>
  <w:p w:rsidR="00905776" w:rsidRPr="00654AEB" w:rsidRDefault="00654AEB"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w:t>
    </w:r>
    <w:r w:rsidR="00301541">
      <w:rPr>
        <w:rFonts w:ascii="Helvetica" w:hAnsi="Helvetica" w:cs="Helvetica"/>
        <w:color w:val="333333"/>
        <w:sz w:val="16"/>
        <w:szCs w:val="16"/>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FC9" w:rsidRDefault="00CC0FC9">
      <w:r>
        <w:separator/>
      </w:r>
    </w:p>
  </w:footnote>
  <w:footnote w:type="continuationSeparator" w:id="0">
    <w:p w:rsidR="00CC0FC9" w:rsidRDefault="00CC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A10AA"/>
    <w:multiLevelType w:val="hybridMultilevel"/>
    <w:tmpl w:val="EDD4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6767B"/>
    <w:multiLevelType w:val="hybridMultilevel"/>
    <w:tmpl w:val="1DA8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719758A"/>
    <w:multiLevelType w:val="hybridMultilevel"/>
    <w:tmpl w:val="1BF614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6C5E30EE"/>
    <w:multiLevelType w:val="hybridMultilevel"/>
    <w:tmpl w:val="8C70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3"/>
  </w:num>
  <w:num w:numId="19">
    <w:abstractNumId w:val="20"/>
  </w:num>
  <w:num w:numId="20">
    <w:abstractNumId w:val="19"/>
  </w:num>
  <w:num w:numId="21">
    <w:abstractNumId w:val="11"/>
  </w:num>
  <w:num w:numId="22">
    <w:abstractNumId w:val="18"/>
  </w:num>
  <w:num w:numId="23">
    <w:abstractNumId w:val="24"/>
  </w:num>
  <w:num w:numId="24">
    <w:abstractNumId w:val="16"/>
  </w:num>
  <w:num w:numId="25">
    <w:abstractNumId w:val="23"/>
  </w:num>
  <w:num w:numId="26">
    <w:abstractNumId w:val="10"/>
  </w:num>
  <w:num w:numId="27">
    <w:abstractNumId w:val="14"/>
  </w:num>
  <w:num w:numId="28">
    <w:abstractNumId w:val="12"/>
  </w:num>
  <w:num w:numId="29">
    <w:abstractNumId w:val="22"/>
  </w:num>
  <w:num w:numId="30">
    <w:abstractNumId w:val="15"/>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2EF2"/>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0BCA"/>
    <w:rsid w:val="001C3D4F"/>
    <w:rsid w:val="001C6D56"/>
    <w:rsid w:val="001C7D97"/>
    <w:rsid w:val="001D167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060D"/>
    <w:rsid w:val="00261A67"/>
    <w:rsid w:val="00263652"/>
    <w:rsid w:val="00267210"/>
    <w:rsid w:val="00267691"/>
    <w:rsid w:val="00273169"/>
    <w:rsid w:val="00274060"/>
    <w:rsid w:val="00274CA1"/>
    <w:rsid w:val="00276B46"/>
    <w:rsid w:val="002773F8"/>
    <w:rsid w:val="00281AC2"/>
    <w:rsid w:val="00282101"/>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541"/>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011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77014"/>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59B"/>
    <w:rsid w:val="004306CF"/>
    <w:rsid w:val="00430CBF"/>
    <w:rsid w:val="00431B5F"/>
    <w:rsid w:val="00435602"/>
    <w:rsid w:val="004360C5"/>
    <w:rsid w:val="004361EE"/>
    <w:rsid w:val="00446D47"/>
    <w:rsid w:val="004471E0"/>
    <w:rsid w:val="00452C0F"/>
    <w:rsid w:val="0045331D"/>
    <w:rsid w:val="00453BD1"/>
    <w:rsid w:val="0045786D"/>
    <w:rsid w:val="00464D60"/>
    <w:rsid w:val="0046574D"/>
    <w:rsid w:val="00467A60"/>
    <w:rsid w:val="00467DEA"/>
    <w:rsid w:val="00467EBE"/>
    <w:rsid w:val="0047207F"/>
    <w:rsid w:val="00472EEC"/>
    <w:rsid w:val="0047323F"/>
    <w:rsid w:val="004749C9"/>
    <w:rsid w:val="00476CDE"/>
    <w:rsid w:val="00480A3A"/>
    <w:rsid w:val="004814A5"/>
    <w:rsid w:val="00482038"/>
    <w:rsid w:val="00482436"/>
    <w:rsid w:val="00482791"/>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36CD"/>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07243"/>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3E9"/>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975"/>
    <w:rsid w:val="00744AE4"/>
    <w:rsid w:val="00747C02"/>
    <w:rsid w:val="0075002A"/>
    <w:rsid w:val="00754A42"/>
    <w:rsid w:val="00756E6C"/>
    <w:rsid w:val="00757592"/>
    <w:rsid w:val="0076218E"/>
    <w:rsid w:val="00763299"/>
    <w:rsid w:val="00763E57"/>
    <w:rsid w:val="00765DDE"/>
    <w:rsid w:val="00767F12"/>
    <w:rsid w:val="0077048F"/>
    <w:rsid w:val="007717A5"/>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4BC7"/>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5986"/>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541E"/>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5EE"/>
    <w:rsid w:val="00A708F8"/>
    <w:rsid w:val="00A70E12"/>
    <w:rsid w:val="00A7553F"/>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7AE"/>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605D"/>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975"/>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3CE5"/>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0FC9"/>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59E4"/>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25ECC"/>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1C09"/>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167"/>
    <w:rsid w:val="00F90944"/>
    <w:rsid w:val="00F92612"/>
    <w:rsid w:val="00F93439"/>
    <w:rsid w:val="00F9524F"/>
    <w:rsid w:val="00F95490"/>
    <w:rsid w:val="00F97771"/>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FEEB220-7F49-4652-8CD5-70B06C65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574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aliases w:val="Do not use"/>
    <w:semiHidden/>
    <w:rsid w:val="0027316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73169"/>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paragraph" w:customStyle="1" w:styleId="BasicParagraph">
    <w:name w:val="[Basic Paragraph]"/>
    <w:basedOn w:val="Normal"/>
    <w:uiPriority w:val="99"/>
    <w:rsid w:val="00607243"/>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character" w:customStyle="1" w:styleId="SubtitleChar">
    <w:name w:val="Subtitle Char"/>
    <w:link w:val="Subtitle"/>
    <w:rsid w:val="00744975"/>
    <w:rPr>
      <w:rFonts w:ascii="Arial" w:hAnsi="Arial"/>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2014-01-31T12:06:00Z</cp:lastPrinted>
  <dcterms:created xsi:type="dcterms:W3CDTF">2018-11-08T11:16:00Z</dcterms:created>
  <dcterms:modified xsi:type="dcterms:W3CDTF">2018-11-08T11:16:00Z</dcterms:modified>
</cp:coreProperties>
</file>