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AF36E7" w:rsidP="007A063F">
      <w:r>
        <w:rPr>
          <w:noProof/>
        </w:rPr>
        <w:drawing>
          <wp:inline distT="0" distB="0" distL="0" distR="0" wp14:anchorId="2297F2E6" wp14:editId="3A4E3480">
            <wp:extent cx="1317600" cy="961200"/>
            <wp:effectExtent l="0" t="0" r="0" b="0"/>
            <wp:docPr id="3" name="Picture 3"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Master_Print_BLACK_.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7600" cy="961200"/>
                    </a:xfrm>
                    <a:prstGeom prst="rect">
                      <a:avLst/>
                    </a:prstGeom>
                  </pic:spPr>
                </pic:pic>
              </a:graphicData>
            </a:graphic>
          </wp:inline>
        </w:drawing>
      </w:r>
    </w:p>
    <w:p w:rsidR="00FF49EF" w:rsidRDefault="00FF49EF" w:rsidP="00FF49EF">
      <w:pPr>
        <w:pStyle w:val="Heading1"/>
      </w:pPr>
      <w:bookmarkStart w:id="0" w:name="_Toc316465615"/>
    </w:p>
    <w:p w:rsidR="005F0D58" w:rsidRDefault="005F0D58" w:rsidP="00FF49EF">
      <w:pPr>
        <w:pStyle w:val="Heading1"/>
      </w:pPr>
      <w:r>
        <w:t>Articles for the blind postage labels</w:t>
      </w:r>
      <w:r w:rsidR="00FF49EF">
        <w:t xml:space="preserve"> (</w:t>
      </w:r>
      <w:r>
        <w:t>DP11</w:t>
      </w:r>
      <w:r w:rsidR="00FF49EF">
        <w:t>)</w:t>
      </w:r>
    </w:p>
    <w:p w:rsidR="00FF49EF" w:rsidRDefault="00FF49EF" w:rsidP="00FF49EF">
      <w:pPr>
        <w:autoSpaceDE w:val="0"/>
        <w:autoSpaceDN w:val="0"/>
        <w:adjustRightInd w:val="0"/>
        <w:rPr>
          <w:rFonts w:cs="Arial"/>
          <w:szCs w:val="28"/>
        </w:rPr>
      </w:pPr>
      <w:bookmarkStart w:id="1" w:name="_Toc293495616"/>
      <w:bookmarkEnd w:id="0"/>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FF49EF" w:rsidRDefault="00FF49EF" w:rsidP="00763E57"/>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A26150" w:rsidRDefault="00A26150" w:rsidP="00FF49EF">
      <w:pPr>
        <w:pStyle w:val="Heading2"/>
      </w:pPr>
      <w:bookmarkStart w:id="2" w:name="_Toc243448109"/>
      <w:bookmarkStart w:id="3" w:name="_Toc378689204"/>
      <w:bookmarkEnd w:id="1"/>
      <w:r>
        <w:t>General description</w:t>
      </w:r>
      <w:bookmarkEnd w:id="2"/>
      <w:bookmarkEnd w:id="3"/>
    </w:p>
    <w:p w:rsidR="005F0D58" w:rsidRPr="00DE3564" w:rsidRDefault="005F0D58" w:rsidP="005F0D58">
      <w:r w:rsidRPr="00DE3564">
        <w:t>These printed peel-off labels can be used by blind people to send certain items b</w:t>
      </w:r>
      <w:r>
        <w:t xml:space="preserve">y post free of charge. </w:t>
      </w:r>
      <w:r w:rsidRPr="00DE3564">
        <w:t xml:space="preserve">Supplied </w:t>
      </w:r>
      <w:r>
        <w:t>as</w:t>
      </w:r>
      <w:r w:rsidRPr="00DE3564">
        <w:t xml:space="preserve"> </w:t>
      </w:r>
      <w:r>
        <w:t xml:space="preserve">a </w:t>
      </w:r>
      <w:r w:rsidRPr="00DE3564">
        <w:t>pack of 200 labels on serrated paper.</w:t>
      </w:r>
    </w:p>
    <w:p w:rsidR="00430174" w:rsidRPr="00885F73" w:rsidRDefault="00430174" w:rsidP="00A26150"/>
    <w:p w:rsidR="00A26150" w:rsidRDefault="00A26150" w:rsidP="00FF49EF">
      <w:pPr>
        <w:pStyle w:val="Heading2"/>
      </w:pPr>
      <w:bookmarkStart w:id="4" w:name="_Toc293495618"/>
      <w:bookmarkStart w:id="5" w:name="_Toc378689206"/>
      <w:bookmarkStart w:id="6" w:name="_Toc237831394"/>
      <w:bookmarkStart w:id="7" w:name="_Toc240353899"/>
      <w:r>
        <w:t>Orientation</w:t>
      </w:r>
      <w:bookmarkEnd w:id="4"/>
      <w:bookmarkEnd w:id="5"/>
    </w:p>
    <w:p w:rsidR="005F0D58" w:rsidRDefault="008D5087" w:rsidP="005F0D58">
      <w:r>
        <w:t>The label measures 15</w:t>
      </w:r>
      <w:r w:rsidR="005F0D58">
        <w:t>cm (6</w:t>
      </w:r>
      <w:r w:rsidR="00AA2F7B">
        <w:sym w:font="Symbol" w:char="F0B2"/>
      </w:r>
      <w:r w:rsidR="005F0D58">
        <w:t xml:space="preserve">) across and the top </w:t>
      </w:r>
      <w:proofErr w:type="gramStart"/>
      <w:r w:rsidR="005F0D58">
        <w:t>left hand</w:t>
      </w:r>
      <w:proofErr w:type="gramEnd"/>
      <w:r w:rsidR="005F0D58">
        <w:t xml:space="preserve"> corner has been cut off for easy identification.  There is a raised vertical line towards the </w:t>
      </w:r>
      <w:proofErr w:type="gramStart"/>
      <w:r w:rsidR="005F0D58">
        <w:t>left hand</w:t>
      </w:r>
      <w:proofErr w:type="gramEnd"/>
      <w:r w:rsidR="005F0D58">
        <w:t xml:space="preserve"> side.  This section is used to write the return address.  To write the return address in the correct place, turn the label, so the vertical line is now in a horizontal position and uppermost. The words “In case of non-delivery return to:” are written at the top in this section of the label, so start writing about 1.5cm (</w:t>
      </w:r>
      <w:r w:rsidR="00AA2F7B">
        <w:rPr>
          <w:rFonts w:cs="Arial"/>
        </w:rPr>
        <w:t>½</w:t>
      </w:r>
      <w:r w:rsidR="00AA2F7B">
        <w:sym w:font="Symbol" w:char="F0B2"/>
      </w:r>
      <w:r w:rsidR="005F0D58">
        <w:t>) from the top of the label.</w:t>
      </w:r>
    </w:p>
    <w:p w:rsidR="005F0D58" w:rsidRDefault="005F0D58" w:rsidP="005F0D58"/>
    <w:p w:rsidR="005F0D58" w:rsidRDefault="005F0D58" w:rsidP="005F0D58">
      <w:r>
        <w:t xml:space="preserve">The right side is space for your recipients address. The words “Articles for the Blind” are in bold letters across the top of the label.  Directly underneath </w:t>
      </w:r>
      <w:proofErr w:type="gramStart"/>
      <w:r>
        <w:t>are</w:t>
      </w:r>
      <w:proofErr w:type="gramEnd"/>
      <w:r>
        <w:t xml:space="preserve"> the words “</w:t>
      </w:r>
      <w:proofErr w:type="spellStart"/>
      <w:r>
        <w:t>Cecogramme</w:t>
      </w:r>
      <w:proofErr w:type="spellEnd"/>
      <w:r>
        <w:t>” and underneath this “1s</w:t>
      </w:r>
      <w:r w:rsidR="008D5087">
        <w:t>t class post”.  Start writing 4</w:t>
      </w:r>
      <w:r>
        <w:t>cm (1</w:t>
      </w:r>
      <w:r w:rsidR="00AA2F7B">
        <w:rPr>
          <w:rFonts w:cs="Arial"/>
        </w:rPr>
        <w:t>½</w:t>
      </w:r>
      <w:r w:rsidR="00AA2F7B">
        <w:rPr>
          <w:rFonts w:cs="Arial"/>
        </w:rPr>
        <w:sym w:font="Symbol" w:char="F0B2"/>
      </w:r>
      <w:r>
        <w:t>) from the top of the label.</w:t>
      </w:r>
    </w:p>
    <w:p w:rsidR="005F0D58" w:rsidRDefault="005F0D58" w:rsidP="005F0D58"/>
    <w:p w:rsidR="008D5087" w:rsidRDefault="008D5087" w:rsidP="008D5087">
      <w:pPr>
        <w:pStyle w:val="Heading2"/>
      </w:pPr>
      <w:bookmarkStart w:id="8" w:name="_Toc325016600"/>
      <w:bookmarkEnd w:id="6"/>
      <w:bookmarkEnd w:id="7"/>
      <w:r>
        <w:lastRenderedPageBreak/>
        <w:t xml:space="preserve">What can be </w:t>
      </w:r>
      <w:r w:rsidR="00871C88">
        <w:t>posted under</w:t>
      </w:r>
      <w:r>
        <w:t xml:space="preserve"> Articles for the Blind?</w:t>
      </w:r>
    </w:p>
    <w:p w:rsidR="008D5087" w:rsidRDefault="008D5087" w:rsidP="008D5087">
      <w:r>
        <w:t>Only items that have been specially produced or adapted for blind and partially sighted people may be sent using the service. The scope of the AFB scheme has been extended to include large print (minimum 16 point). Details below of all items covered by scheme:</w:t>
      </w:r>
    </w:p>
    <w:p w:rsidR="008D5087" w:rsidRDefault="008D5087" w:rsidP="008D5087"/>
    <w:p w:rsidR="008D5087" w:rsidRDefault="008D5087" w:rsidP="008D5087">
      <w:pPr>
        <w:numPr>
          <w:ilvl w:val="0"/>
          <w:numId w:val="29"/>
        </w:numPr>
      </w:pPr>
      <w:r>
        <w:t>books, papers and letters – either embossed or in large print (minimum font size 16pt)</w:t>
      </w:r>
    </w:p>
    <w:p w:rsidR="008D5087" w:rsidRDefault="008D5087" w:rsidP="008D5087">
      <w:pPr>
        <w:numPr>
          <w:ilvl w:val="0"/>
          <w:numId w:val="29"/>
        </w:numPr>
      </w:pPr>
      <w:r>
        <w:t>computer disks and CDs which have been prepared for blind or partially sighted people</w:t>
      </w:r>
    </w:p>
    <w:p w:rsidR="008D5087" w:rsidRDefault="008D5087" w:rsidP="008D5087">
      <w:pPr>
        <w:numPr>
          <w:ilvl w:val="0"/>
          <w:numId w:val="29"/>
        </w:numPr>
      </w:pPr>
      <w:r>
        <w:t>relief maps</w:t>
      </w:r>
    </w:p>
    <w:p w:rsidR="008D5087" w:rsidRDefault="008D5087" w:rsidP="008D5087">
      <w:pPr>
        <w:numPr>
          <w:ilvl w:val="0"/>
          <w:numId w:val="29"/>
        </w:numPr>
      </w:pPr>
      <w:r>
        <w:t>spoken audio, video (with added commentary – audio description) and electronic media</w:t>
      </w:r>
    </w:p>
    <w:p w:rsidR="008D5087" w:rsidRDefault="008D5087" w:rsidP="008D5087">
      <w:pPr>
        <w:numPr>
          <w:ilvl w:val="0"/>
          <w:numId w:val="29"/>
        </w:numPr>
      </w:pPr>
      <w:r>
        <w:t xml:space="preserve">talking </w:t>
      </w:r>
      <w:r w:rsidR="00871C88">
        <w:t>b</w:t>
      </w:r>
      <w:r>
        <w:t>ooks and talking newspapers which are recordings of readings from printed books, journals, newspapers, periodicals or similar publications, but not entertainment programmes which are available on radio or recordings</w:t>
      </w:r>
    </w:p>
    <w:p w:rsidR="008D5087" w:rsidRDefault="008D5087" w:rsidP="008D5087">
      <w:pPr>
        <w:numPr>
          <w:ilvl w:val="0"/>
          <w:numId w:val="29"/>
        </w:numPr>
      </w:pPr>
      <w:r>
        <w:t>equipment used to play or record audio, v</w:t>
      </w:r>
      <w:r w:rsidR="00871C88">
        <w:t>ideo and electronic media i.e. t</w:t>
      </w:r>
      <w:r>
        <w:t xml:space="preserve">alking </w:t>
      </w:r>
      <w:r w:rsidR="00871C88">
        <w:t>b</w:t>
      </w:r>
      <w:r>
        <w:t xml:space="preserve">ooks and </w:t>
      </w:r>
      <w:r w:rsidR="00871C88">
        <w:t>t</w:t>
      </w:r>
      <w:r>
        <w:t xml:space="preserve">alking </w:t>
      </w:r>
      <w:r w:rsidR="00871C88">
        <w:t>n</w:t>
      </w:r>
      <w:r>
        <w:t>ewspapers</w:t>
      </w:r>
    </w:p>
    <w:p w:rsidR="008D5087" w:rsidRDefault="008D5087" w:rsidP="008D5087">
      <w:pPr>
        <w:numPr>
          <w:ilvl w:val="0"/>
          <w:numId w:val="29"/>
        </w:numPr>
      </w:pPr>
      <w:r>
        <w:t>electronic and optical magnifiers</w:t>
      </w:r>
    </w:p>
    <w:p w:rsidR="008D5087" w:rsidRDefault="008D5087" w:rsidP="008D5087">
      <w:pPr>
        <w:numPr>
          <w:ilvl w:val="0"/>
          <w:numId w:val="29"/>
        </w:numPr>
      </w:pPr>
      <w:r>
        <w:t>games, mathematical devices, watches, clocks, timers and measuring equipment</w:t>
      </w:r>
    </w:p>
    <w:p w:rsidR="008D5087" w:rsidRDefault="008D5087" w:rsidP="008D5087">
      <w:pPr>
        <w:numPr>
          <w:ilvl w:val="0"/>
          <w:numId w:val="29"/>
        </w:numPr>
      </w:pPr>
      <w:r>
        <w:t>embossed or blank plates and devices for producing tactile information</w:t>
      </w:r>
    </w:p>
    <w:p w:rsidR="008D5087" w:rsidRDefault="008D5087" w:rsidP="008D5087">
      <w:pPr>
        <w:numPr>
          <w:ilvl w:val="0"/>
          <w:numId w:val="29"/>
        </w:numPr>
      </w:pPr>
      <w:r>
        <w:t>stationery for tactile information or for mail</w:t>
      </w:r>
    </w:p>
    <w:p w:rsidR="008D5087" w:rsidRDefault="008D5087" w:rsidP="008D5087">
      <w:pPr>
        <w:numPr>
          <w:ilvl w:val="0"/>
          <w:numId w:val="29"/>
        </w:numPr>
      </w:pPr>
      <w:r>
        <w:t>mobility aids including sticks and guide dog equipment.</w:t>
      </w:r>
    </w:p>
    <w:p w:rsidR="008D5087" w:rsidRDefault="008D5087" w:rsidP="008D5087">
      <w:r>
        <w:t xml:space="preserve"> </w:t>
      </w:r>
    </w:p>
    <w:p w:rsidR="008D5087" w:rsidRDefault="008D5087" w:rsidP="008D5087">
      <w:pPr>
        <w:pStyle w:val="Heading2"/>
      </w:pPr>
      <w:r>
        <w:t>Items not accepted for posting under Articles for the Blind</w:t>
      </w:r>
    </w:p>
    <w:p w:rsidR="008D5087" w:rsidRDefault="008D5087" w:rsidP="008D5087">
      <w:pPr>
        <w:numPr>
          <w:ilvl w:val="0"/>
          <w:numId w:val="30"/>
        </w:numPr>
      </w:pPr>
      <w:r>
        <w:t>Music audio (more than 2 minutes or more than 10% of the total duration).</w:t>
      </w:r>
    </w:p>
    <w:p w:rsidR="008D5087" w:rsidRDefault="008D5087" w:rsidP="008D5087">
      <w:pPr>
        <w:numPr>
          <w:ilvl w:val="0"/>
          <w:numId w:val="31"/>
        </w:numPr>
      </w:pPr>
      <w:r>
        <w:t xml:space="preserve">Entertainment programmes which are available on radio or recordings. </w:t>
      </w:r>
    </w:p>
    <w:p w:rsidR="008D5087" w:rsidRDefault="008D5087" w:rsidP="008D5087">
      <w:pPr>
        <w:numPr>
          <w:ilvl w:val="0"/>
          <w:numId w:val="31"/>
        </w:numPr>
      </w:pPr>
      <w:r>
        <w:t>Printed material in a font smaller than 16 point, unless it is a faithful copy of information that has been transcribed into braille, tape, CD, disk or large print, and where it accompanies the transcribed version.</w:t>
      </w:r>
    </w:p>
    <w:p w:rsidR="008D5087" w:rsidRPr="000F067E" w:rsidRDefault="008D5087" w:rsidP="008D5087">
      <w:pPr>
        <w:numPr>
          <w:ilvl w:val="0"/>
          <w:numId w:val="31"/>
        </w:numPr>
        <w:rPr>
          <w:color w:val="000000"/>
          <w:szCs w:val="28"/>
        </w:rPr>
      </w:pPr>
      <w:r>
        <w:rPr>
          <w:color w:val="000000"/>
          <w:szCs w:val="28"/>
        </w:rPr>
        <w:t>A</w:t>
      </w:r>
      <w:r w:rsidRPr="00665FC8">
        <w:rPr>
          <w:color w:val="000000"/>
          <w:szCs w:val="28"/>
        </w:rPr>
        <w:t xml:space="preserve">ny flyer or documentation being used as </w:t>
      </w:r>
      <w:r w:rsidRPr="000F067E">
        <w:rPr>
          <w:color w:val="000000"/>
          <w:szCs w:val="28"/>
        </w:rPr>
        <w:t>advertising</w:t>
      </w:r>
      <w:r w:rsidR="00AE699D" w:rsidRPr="000F067E">
        <w:rPr>
          <w:color w:val="000000"/>
          <w:szCs w:val="28"/>
        </w:rPr>
        <w:t>.</w:t>
      </w:r>
    </w:p>
    <w:p w:rsidR="008D5087" w:rsidRPr="00665FC8" w:rsidRDefault="008D5087" w:rsidP="008D5087">
      <w:pPr>
        <w:numPr>
          <w:ilvl w:val="0"/>
          <w:numId w:val="31"/>
        </w:numPr>
        <w:rPr>
          <w:color w:val="000000"/>
          <w:szCs w:val="28"/>
        </w:rPr>
      </w:pPr>
      <w:r>
        <w:rPr>
          <w:color w:val="000000"/>
          <w:szCs w:val="28"/>
        </w:rPr>
        <w:t>P</w:t>
      </w:r>
      <w:r w:rsidRPr="00665FC8">
        <w:rPr>
          <w:color w:val="000000"/>
          <w:szCs w:val="28"/>
        </w:rPr>
        <w:t>ersonal, sensitive or confidential correspondence, in any format.</w:t>
      </w:r>
    </w:p>
    <w:p w:rsidR="000F067E" w:rsidRDefault="000F067E">
      <w:pPr>
        <w:rPr>
          <w:b/>
          <w:sz w:val="36"/>
        </w:rPr>
      </w:pPr>
      <w:r>
        <w:br w:type="page"/>
      </w:r>
    </w:p>
    <w:p w:rsidR="005F0D58" w:rsidRDefault="00871C88" w:rsidP="005F0D58">
      <w:pPr>
        <w:pStyle w:val="Heading2"/>
      </w:pPr>
      <w:r>
        <w:lastRenderedPageBreak/>
        <w:t>Conditions for using the Articles for the Blind</w:t>
      </w:r>
      <w:r w:rsidR="005F0D58">
        <w:t xml:space="preserve"> </w:t>
      </w:r>
      <w:r>
        <w:t>s</w:t>
      </w:r>
      <w:r w:rsidR="005F0D58">
        <w:t>ervice</w:t>
      </w:r>
      <w:bookmarkEnd w:id="8"/>
    </w:p>
    <w:p w:rsidR="005F0D58" w:rsidRDefault="005F0D58" w:rsidP="005F0D58">
      <w:pPr>
        <w:pStyle w:val="ListBullet"/>
      </w:pPr>
      <w:r>
        <w:t>The item must weigh less than 7kg.</w:t>
      </w:r>
    </w:p>
    <w:p w:rsidR="005F0D58" w:rsidRDefault="005F0D58" w:rsidP="005F0D58">
      <w:pPr>
        <w:pStyle w:val="ListBullet"/>
      </w:pPr>
      <w:r>
        <w:t xml:space="preserve">Standard </w:t>
      </w:r>
      <w:r w:rsidR="00A41145">
        <w:t>font</w:t>
      </w:r>
      <w:r>
        <w:t xml:space="preserve"> print items may not be sent using the Articles for the Blind service unless, in the reasonable opinion of the Post Office, they fall within the definition of articles for the blind.</w:t>
      </w:r>
    </w:p>
    <w:p w:rsidR="005F0D58" w:rsidRDefault="005F0D58" w:rsidP="005F0D58">
      <w:pPr>
        <w:pStyle w:val="ListBullet"/>
      </w:pPr>
      <w:r>
        <w:t>The Post Office may open and inspect the contents of a letter marked as containing articles for the blind.</w:t>
      </w:r>
    </w:p>
    <w:p w:rsidR="005F0D58" w:rsidRDefault="005F0D58" w:rsidP="005F0D58"/>
    <w:p w:rsidR="005F0D58" w:rsidRDefault="005F0D58" w:rsidP="005F0D58">
      <w:r w:rsidRPr="005F0D58">
        <w:rPr>
          <w:b/>
        </w:rPr>
        <w:t xml:space="preserve">Please note: </w:t>
      </w:r>
      <w:r>
        <w:t>No compensation is available for items that are lost or damaged using this service.</w:t>
      </w:r>
    </w:p>
    <w:p w:rsidR="005F0D58" w:rsidRDefault="005F0D58" w:rsidP="005F0D58"/>
    <w:p w:rsidR="005F0D58" w:rsidRDefault="005F0D58" w:rsidP="005F0D58">
      <w:bookmarkStart w:id="9" w:name="_Hlk511916074"/>
      <w:r>
        <w:t xml:space="preserve">For further details of using this service, please request a copy of </w:t>
      </w:r>
      <w:r w:rsidR="008D5087">
        <w:t>the Articles for the Blind factsheet from RNIB helpline or visit the RNIB website.</w:t>
      </w:r>
    </w:p>
    <w:bookmarkEnd w:id="9"/>
    <w:p w:rsidR="00A26150" w:rsidRDefault="00A26150" w:rsidP="00A26150"/>
    <w:p w:rsidR="00513A04" w:rsidRDefault="00513A04" w:rsidP="00FF49EF">
      <w:pPr>
        <w:pStyle w:val="Heading2"/>
      </w:pPr>
      <w:bookmarkStart w:id="10" w:name="_Toc378689218"/>
      <w:r>
        <w:t xml:space="preserve">How to contact </w:t>
      </w:r>
      <w:r w:rsidR="00905776">
        <w:t>RNIB</w:t>
      </w:r>
      <w:bookmarkEnd w:id="10"/>
    </w:p>
    <w:p w:rsidR="001C3403" w:rsidRDefault="001C3403" w:rsidP="001C3403">
      <w:pPr>
        <w:autoSpaceDE w:val="0"/>
        <w:autoSpaceDN w:val="0"/>
        <w:adjustRightInd w:val="0"/>
        <w:rPr>
          <w:rFonts w:cs="Arial"/>
          <w:szCs w:val="32"/>
        </w:rPr>
      </w:pPr>
      <w:r>
        <w:rPr>
          <w:rFonts w:cs="Arial"/>
          <w:szCs w:val="32"/>
        </w:rPr>
        <w:t>Phone: 0303 123 9999</w:t>
      </w:r>
    </w:p>
    <w:p w:rsidR="001C3403" w:rsidRDefault="001C3403" w:rsidP="001C3403">
      <w:pPr>
        <w:autoSpaceDE w:val="0"/>
        <w:autoSpaceDN w:val="0"/>
        <w:adjustRightInd w:val="0"/>
        <w:rPr>
          <w:rFonts w:cs="Arial"/>
          <w:szCs w:val="32"/>
        </w:rPr>
      </w:pPr>
      <w:r>
        <w:rPr>
          <w:rFonts w:cs="Arial"/>
          <w:szCs w:val="32"/>
        </w:rPr>
        <w:t>Email: shop@rnib.org.uk</w:t>
      </w:r>
    </w:p>
    <w:p w:rsidR="001C3403" w:rsidRDefault="001C3403" w:rsidP="001C3403">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1C3403" w:rsidRDefault="001C3403" w:rsidP="001C3403">
      <w:pPr>
        <w:autoSpaceDE w:val="0"/>
        <w:autoSpaceDN w:val="0"/>
        <w:adjustRightInd w:val="0"/>
        <w:rPr>
          <w:rFonts w:cs="Arial"/>
          <w:szCs w:val="32"/>
        </w:rPr>
      </w:pPr>
      <w:r>
        <w:rPr>
          <w:rFonts w:cs="Arial"/>
          <w:szCs w:val="32"/>
        </w:rPr>
        <w:t>Online Shop: shop.rnib.org.uk</w:t>
      </w:r>
    </w:p>
    <w:p w:rsidR="001C3403" w:rsidRDefault="001C3403" w:rsidP="001C3403">
      <w:pPr>
        <w:autoSpaceDE w:val="0"/>
        <w:autoSpaceDN w:val="0"/>
        <w:adjustRightInd w:val="0"/>
        <w:rPr>
          <w:rFonts w:cs="Arial"/>
          <w:szCs w:val="32"/>
        </w:rPr>
      </w:pPr>
    </w:p>
    <w:p w:rsidR="001C3403" w:rsidRDefault="001C3403" w:rsidP="001C3403">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FF49EF">
      <w:pPr>
        <w:pStyle w:val="Heading2"/>
      </w:pPr>
      <w:bookmarkStart w:id="11" w:name="_Toc378689219"/>
      <w:r w:rsidRPr="00B40769">
        <w:t>Terms and conditions of sale</w:t>
      </w:r>
      <w:bookmarkEnd w:id="11"/>
    </w:p>
    <w:p w:rsidR="00513A04" w:rsidRDefault="00281AC2" w:rsidP="00513A04">
      <w:r>
        <w:t>This product is guarantee</w:t>
      </w:r>
      <w:r w:rsidR="00756F75">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AF36E7" w:rsidRPr="00AF36E7" w:rsidRDefault="00AF36E7" w:rsidP="00AF36E7">
      <w:pPr>
        <w:autoSpaceDE w:val="0"/>
        <w:autoSpaceDN w:val="0"/>
        <w:adjustRightInd w:val="0"/>
        <w:rPr>
          <w:rFonts w:cs="Arial"/>
          <w:szCs w:val="32"/>
        </w:rPr>
      </w:pPr>
      <w:r w:rsidRPr="00AF36E7">
        <w:rPr>
          <w:rFonts w:cs="Arial"/>
          <w:szCs w:val="32"/>
        </w:rPr>
        <w:t>RNIB Enterprises Limited (with registered number 0887094) is a wholly owned trading subsidiary of the Royal National Institute of Blind People ("RNIB"), a charity registered in England and Wales (226227), Scotland (SCO39316) and Isle of Man (1109). RNIB Enterprises Limited covenants all of its taxable profits to RNIB.</w:t>
      </w:r>
    </w:p>
    <w:p w:rsidR="00AF36E7" w:rsidRPr="00AF36E7" w:rsidRDefault="00AF36E7" w:rsidP="00AF36E7">
      <w:pPr>
        <w:autoSpaceDE w:val="0"/>
        <w:autoSpaceDN w:val="0"/>
        <w:adjustRightInd w:val="0"/>
        <w:rPr>
          <w:rFonts w:cs="Arial"/>
          <w:szCs w:val="32"/>
        </w:rPr>
      </w:pPr>
    </w:p>
    <w:p w:rsidR="00513A04" w:rsidRDefault="00756F75" w:rsidP="00513A04">
      <w:r>
        <w:lastRenderedPageBreak/>
        <w:t xml:space="preserve">Date: </w:t>
      </w:r>
      <w:r w:rsidR="00AF36E7">
        <w:t>March 2019.</w:t>
      </w:r>
    </w:p>
    <w:p w:rsidR="008D242B" w:rsidRDefault="008D242B" w:rsidP="00A26150"/>
    <w:p w:rsidR="00DC3C90" w:rsidRDefault="00AF36E7" w:rsidP="00776FE4">
      <w:pPr>
        <w:autoSpaceDE w:val="0"/>
        <w:autoSpaceDN w:val="0"/>
        <w:adjustRightInd w:val="0"/>
      </w:pPr>
      <w:r w:rsidRPr="00AF36E7">
        <w:rPr>
          <w:rFonts w:cs="Arial"/>
          <w:szCs w:val="32"/>
        </w:rPr>
        <w:t>© 2019 Royal National Institute of Blind People.</w:t>
      </w:r>
      <w:bookmarkStart w:id="12" w:name="_GoBack"/>
      <w:bookmarkEnd w:id="12"/>
    </w:p>
    <w:sectPr w:rsidR="00DC3C90" w:rsidSect="003062EF">
      <w:footerReference w:type="even" r:id="rId8"/>
      <w:footerReference w:type="default" r:id="rId9"/>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58" w:rsidRDefault="005F0D58">
      <w:r>
        <w:separator/>
      </w:r>
    </w:p>
  </w:endnote>
  <w:endnote w:type="continuationSeparator" w:id="0">
    <w:p w:rsidR="005F0D58" w:rsidRDefault="005F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58" w:rsidRDefault="00867802" w:rsidP="00D63977">
    <w:pPr>
      <w:pStyle w:val="Footer"/>
      <w:framePr w:wrap="around" w:vAnchor="text" w:hAnchor="margin" w:xAlign="center" w:y="1"/>
      <w:rPr>
        <w:rStyle w:val="PageNumber"/>
      </w:rPr>
    </w:pPr>
    <w:r>
      <w:rPr>
        <w:rStyle w:val="PageNumber"/>
      </w:rPr>
      <w:fldChar w:fldCharType="begin"/>
    </w:r>
    <w:r w:rsidR="005F0D58">
      <w:rPr>
        <w:rStyle w:val="PageNumber"/>
      </w:rPr>
      <w:instrText xml:space="preserve">PAGE  </w:instrText>
    </w:r>
    <w:r>
      <w:rPr>
        <w:rStyle w:val="PageNumber"/>
      </w:rPr>
      <w:fldChar w:fldCharType="end"/>
    </w:r>
  </w:p>
  <w:p w:rsidR="005F0D58" w:rsidRDefault="005F0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58" w:rsidRDefault="00867802" w:rsidP="00D63977">
    <w:pPr>
      <w:pStyle w:val="Footer"/>
      <w:framePr w:wrap="around" w:vAnchor="text" w:hAnchor="margin" w:xAlign="center" w:y="1"/>
      <w:rPr>
        <w:rStyle w:val="PageNumber"/>
      </w:rPr>
    </w:pPr>
    <w:r>
      <w:rPr>
        <w:rStyle w:val="PageNumber"/>
      </w:rPr>
      <w:fldChar w:fldCharType="begin"/>
    </w:r>
    <w:r w:rsidR="005F0D58">
      <w:rPr>
        <w:rStyle w:val="PageNumber"/>
      </w:rPr>
      <w:instrText xml:space="preserve">PAGE  </w:instrText>
    </w:r>
    <w:r>
      <w:rPr>
        <w:rStyle w:val="PageNumber"/>
      </w:rPr>
      <w:fldChar w:fldCharType="separate"/>
    </w:r>
    <w:r w:rsidR="00AA2F7B">
      <w:rPr>
        <w:rStyle w:val="PageNumber"/>
        <w:noProof/>
      </w:rPr>
      <w:t>1</w:t>
    </w:r>
    <w:r>
      <w:rPr>
        <w:rStyle w:val="PageNumber"/>
      </w:rPr>
      <w:fldChar w:fldCharType="end"/>
    </w:r>
  </w:p>
  <w:p w:rsidR="005F0D58" w:rsidRDefault="005F0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58" w:rsidRDefault="005F0D58">
      <w:r>
        <w:separator/>
      </w:r>
    </w:p>
  </w:footnote>
  <w:footnote w:type="continuationSeparator" w:id="0">
    <w:p w:rsidR="005F0D58" w:rsidRDefault="005F0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D1424"/>
    <w:multiLevelType w:val="hybridMultilevel"/>
    <w:tmpl w:val="25B4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05C7171"/>
    <w:multiLevelType w:val="hybridMultilevel"/>
    <w:tmpl w:val="8B16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9F7064"/>
    <w:multiLevelType w:val="hybridMultilevel"/>
    <w:tmpl w:val="0FA2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4"/>
  </w:num>
  <w:num w:numId="18">
    <w:abstractNumId w:val="14"/>
  </w:num>
  <w:num w:numId="19">
    <w:abstractNumId w:val="21"/>
  </w:num>
  <w:num w:numId="20">
    <w:abstractNumId w:val="18"/>
  </w:num>
  <w:num w:numId="21">
    <w:abstractNumId w:val="12"/>
  </w:num>
  <w:num w:numId="22">
    <w:abstractNumId w:val="17"/>
  </w:num>
  <w:num w:numId="23">
    <w:abstractNumId w:val="23"/>
  </w:num>
  <w:num w:numId="24">
    <w:abstractNumId w:val="16"/>
  </w:num>
  <w:num w:numId="25">
    <w:abstractNumId w:val="22"/>
  </w:num>
  <w:num w:numId="26">
    <w:abstractNumId w:val="10"/>
  </w:num>
  <w:num w:numId="27">
    <w:abstractNumId w:val="15"/>
  </w:num>
  <w:num w:numId="28">
    <w:abstractNumId w:val="13"/>
  </w:num>
  <w:num w:numId="29">
    <w:abstractNumId w:val="20"/>
  </w:num>
  <w:num w:numId="30">
    <w:abstractNumId w:val="1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067E"/>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403"/>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C546E"/>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2C9D"/>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C545A"/>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29C1"/>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5F0D58"/>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0C8C"/>
    <w:rsid w:val="0073203D"/>
    <w:rsid w:val="007334A3"/>
    <w:rsid w:val="00734555"/>
    <w:rsid w:val="00736B5D"/>
    <w:rsid w:val="007436F5"/>
    <w:rsid w:val="00743E3A"/>
    <w:rsid w:val="00744AE4"/>
    <w:rsid w:val="00747C02"/>
    <w:rsid w:val="0075002A"/>
    <w:rsid w:val="00754A42"/>
    <w:rsid w:val="00756E6C"/>
    <w:rsid w:val="00756F75"/>
    <w:rsid w:val="00757592"/>
    <w:rsid w:val="0076218E"/>
    <w:rsid w:val="00763299"/>
    <w:rsid w:val="00763E57"/>
    <w:rsid w:val="00765DDE"/>
    <w:rsid w:val="00767F12"/>
    <w:rsid w:val="0077048F"/>
    <w:rsid w:val="00776FE4"/>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18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802"/>
    <w:rsid w:val="00867D1E"/>
    <w:rsid w:val="00870F05"/>
    <w:rsid w:val="00871C88"/>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5087"/>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188"/>
    <w:rsid w:val="00A06239"/>
    <w:rsid w:val="00A07F72"/>
    <w:rsid w:val="00A10F18"/>
    <w:rsid w:val="00A128DA"/>
    <w:rsid w:val="00A17D8A"/>
    <w:rsid w:val="00A21998"/>
    <w:rsid w:val="00A2414C"/>
    <w:rsid w:val="00A26150"/>
    <w:rsid w:val="00A27A38"/>
    <w:rsid w:val="00A300FA"/>
    <w:rsid w:val="00A33968"/>
    <w:rsid w:val="00A34D5B"/>
    <w:rsid w:val="00A36CB0"/>
    <w:rsid w:val="00A41145"/>
    <w:rsid w:val="00A42C6F"/>
    <w:rsid w:val="00A447D5"/>
    <w:rsid w:val="00A44E00"/>
    <w:rsid w:val="00A45723"/>
    <w:rsid w:val="00A505F7"/>
    <w:rsid w:val="00A52BAD"/>
    <w:rsid w:val="00A5309F"/>
    <w:rsid w:val="00A57F27"/>
    <w:rsid w:val="00A60C96"/>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1FCC"/>
    <w:rsid w:val="00A92031"/>
    <w:rsid w:val="00A9254C"/>
    <w:rsid w:val="00A9322C"/>
    <w:rsid w:val="00A9328B"/>
    <w:rsid w:val="00A94257"/>
    <w:rsid w:val="00A94559"/>
    <w:rsid w:val="00A94980"/>
    <w:rsid w:val="00A95E1B"/>
    <w:rsid w:val="00AA14CC"/>
    <w:rsid w:val="00AA2F7B"/>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D7D3D"/>
    <w:rsid w:val="00AE699D"/>
    <w:rsid w:val="00AF058C"/>
    <w:rsid w:val="00AF1D58"/>
    <w:rsid w:val="00AF36E7"/>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6D6"/>
    <w:rsid w:val="00D55BA9"/>
    <w:rsid w:val="00D561F2"/>
    <w:rsid w:val="00D57FFA"/>
    <w:rsid w:val="00D60BCE"/>
    <w:rsid w:val="00D61804"/>
    <w:rsid w:val="00D61C2E"/>
    <w:rsid w:val="00D62496"/>
    <w:rsid w:val="00D62CAC"/>
    <w:rsid w:val="00D63977"/>
    <w:rsid w:val="00D64600"/>
    <w:rsid w:val="00D6511D"/>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2A61"/>
    <w:rsid w:val="00DB373C"/>
    <w:rsid w:val="00DB3A40"/>
    <w:rsid w:val="00DB4880"/>
    <w:rsid w:val="00DB5D13"/>
    <w:rsid w:val="00DB644D"/>
    <w:rsid w:val="00DC14A1"/>
    <w:rsid w:val="00DC3593"/>
    <w:rsid w:val="00DC3C90"/>
    <w:rsid w:val="00DC575F"/>
    <w:rsid w:val="00DC6FA5"/>
    <w:rsid w:val="00DC7004"/>
    <w:rsid w:val="00DD05F9"/>
    <w:rsid w:val="00DD151F"/>
    <w:rsid w:val="00DD1E23"/>
    <w:rsid w:val="00DD574F"/>
    <w:rsid w:val="00DD7186"/>
    <w:rsid w:val="00DE369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B2BC8"/>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2E5"/>
    <w:rsid w:val="00FC7775"/>
    <w:rsid w:val="00FD3304"/>
    <w:rsid w:val="00FD3A49"/>
    <w:rsid w:val="00FD4B13"/>
    <w:rsid w:val="00FD5294"/>
    <w:rsid w:val="00FD7165"/>
    <w:rsid w:val="00FE0C29"/>
    <w:rsid w:val="00FE1540"/>
    <w:rsid w:val="00FE1D48"/>
    <w:rsid w:val="00FE31C2"/>
    <w:rsid w:val="00FE5C1D"/>
    <w:rsid w:val="00FF49EF"/>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ACF498-8D33-4C15-804E-27BF4C89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49EF"/>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556D6"/>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5071</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2014-03-20T16:50:00Z</cp:lastPrinted>
  <dcterms:created xsi:type="dcterms:W3CDTF">2019-03-20T16:40:00Z</dcterms:created>
  <dcterms:modified xsi:type="dcterms:W3CDTF">2019-03-20T16:40:00Z</dcterms:modified>
</cp:coreProperties>
</file>